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4B4890" w:rsidRPr="00FE2A2E" w:rsidRDefault="00214C0E" w:rsidP="004462EC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</w:t>
      </w:r>
      <w:r w:rsidR="004462EC" w:rsidRPr="00FE2A2E">
        <w:rPr>
          <w:b/>
          <w:color w:val="000000"/>
          <w:sz w:val="28"/>
          <w:szCs w:val="28"/>
        </w:rPr>
        <w:t>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3C333B">
        <w:rPr>
          <w:b/>
          <w:color w:val="000000"/>
          <w:sz w:val="26"/>
          <w:szCs w:val="26"/>
        </w:rPr>
        <w:t>33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  <w:r w:rsidR="004462EC" w:rsidRPr="004462EC">
        <w:rPr>
          <w:b/>
          <w:color w:val="000000"/>
          <w:sz w:val="26"/>
          <w:szCs w:val="26"/>
        </w:rPr>
        <w:t xml:space="preserve"> </w:t>
      </w:r>
      <w:r w:rsidR="003C333B">
        <w:rPr>
          <w:b/>
          <w:sz w:val="30"/>
          <w:szCs w:val="30"/>
          <w:u w:val="single"/>
        </w:rPr>
        <w:t>«12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3C333B">
        <w:rPr>
          <w:b/>
          <w:sz w:val="30"/>
          <w:szCs w:val="30"/>
          <w:u w:val="single"/>
        </w:rPr>
        <w:t>июля</w:t>
      </w:r>
      <w:r w:rsidR="00713435">
        <w:rPr>
          <w:b/>
          <w:sz w:val="30"/>
          <w:szCs w:val="30"/>
          <w:u w:val="single"/>
        </w:rPr>
        <w:t xml:space="preserve"> </w:t>
      </w:r>
      <w:r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  <w:r w:rsidR="004462EC" w:rsidRPr="004462EC">
        <w:rPr>
          <w:b/>
          <w:color w:val="000000"/>
          <w:sz w:val="30"/>
          <w:szCs w:val="30"/>
          <w:u w:val="single"/>
        </w:rPr>
        <w:t xml:space="preserve"> </w:t>
      </w:r>
      <w:r w:rsidR="004B4890"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0947CC" w:rsidRPr="007E0EE2" w:rsidTr="000947C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  <w:lang w:val="en-US" w:eastAsia="en-US" w:bidi="en-US"/>
              </w:rPr>
              <w:t>№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лот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Наименование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Местонахождение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Общая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площадь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кв</w:t>
            </w:r>
            <w:proofErr w:type="gramStart"/>
            <w:r w:rsidRPr="007E0EE2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Начальная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цена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Задаток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Шаг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аукциона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0947CC" w:rsidRPr="007E0EE2" w:rsidTr="000947CC">
        <w:trPr>
          <w:trHeight w:hRule="exact" w:val="378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947CC" w:rsidRPr="003C333B" w:rsidRDefault="000947CC" w:rsidP="000947C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3C333B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28/100 долей</w:t>
            </w:r>
            <w:r w:rsidRPr="00DE5BD5">
              <w:rPr>
                <w:sz w:val="26"/>
                <w:szCs w:val="26"/>
              </w:rPr>
              <w:t xml:space="preserve"> в праве общей долевой собственности на нежилое </w:t>
            </w:r>
            <w:r>
              <w:rPr>
                <w:sz w:val="26"/>
                <w:szCs w:val="26"/>
              </w:rPr>
              <w:t>здание</w:t>
            </w:r>
            <w:r w:rsidRPr="00DE5BD5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количество этажей: 5, в том числе подземных 1</w:t>
            </w:r>
            <w:r w:rsidRPr="00DE5BD5">
              <w:rPr>
                <w:sz w:val="26"/>
                <w:szCs w:val="26"/>
              </w:rPr>
              <w:t>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DE5BD5">
              <w:rPr>
                <w:sz w:val="26"/>
                <w:szCs w:val="26"/>
              </w:rPr>
              <w:t>г</w:t>
            </w:r>
            <w:proofErr w:type="gramStart"/>
            <w:r w:rsidRPr="00DE5BD5">
              <w:rPr>
                <w:sz w:val="26"/>
                <w:szCs w:val="26"/>
              </w:rPr>
              <w:t>.Н</w:t>
            </w:r>
            <w:proofErr w:type="gramEnd"/>
            <w:r w:rsidRPr="00DE5BD5">
              <w:rPr>
                <w:sz w:val="26"/>
                <w:szCs w:val="26"/>
              </w:rPr>
              <w:t xml:space="preserve">ижний Новгород, </w:t>
            </w:r>
            <w:proofErr w:type="spellStart"/>
            <w:r>
              <w:rPr>
                <w:sz w:val="26"/>
                <w:szCs w:val="26"/>
              </w:rPr>
              <w:t>Канавинский</w:t>
            </w:r>
            <w:proofErr w:type="spellEnd"/>
            <w:r w:rsidRPr="00DE5BD5">
              <w:rPr>
                <w:sz w:val="26"/>
                <w:szCs w:val="26"/>
              </w:rPr>
              <w:t xml:space="preserve"> район, ул.</w:t>
            </w:r>
            <w:r>
              <w:rPr>
                <w:sz w:val="26"/>
                <w:szCs w:val="26"/>
              </w:rPr>
              <w:t>Стрелка</w:t>
            </w:r>
            <w:r w:rsidRPr="00DE5BD5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52:18:0030023:6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2 888,8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496439">
              <w:rPr>
                <w:sz w:val="26"/>
                <w:szCs w:val="26"/>
              </w:rPr>
              <w:t xml:space="preserve">Нежилое отдельно стоящее </w:t>
            </w:r>
            <w:r>
              <w:rPr>
                <w:sz w:val="26"/>
                <w:szCs w:val="26"/>
              </w:rPr>
              <w:t>пятиэтажное</w:t>
            </w:r>
            <w:r w:rsidRPr="00496439">
              <w:rPr>
                <w:sz w:val="26"/>
                <w:szCs w:val="26"/>
              </w:rPr>
              <w:t xml:space="preserve"> здание. Имеется </w:t>
            </w:r>
            <w:r>
              <w:rPr>
                <w:sz w:val="26"/>
                <w:szCs w:val="26"/>
              </w:rPr>
              <w:t>4</w:t>
            </w:r>
            <w:r w:rsidRPr="00496439">
              <w:rPr>
                <w:sz w:val="26"/>
                <w:szCs w:val="26"/>
              </w:rPr>
              <w:t xml:space="preserve"> </w:t>
            </w:r>
            <w:proofErr w:type="gramStart"/>
            <w:r w:rsidRPr="00496439">
              <w:rPr>
                <w:sz w:val="26"/>
                <w:szCs w:val="26"/>
              </w:rPr>
              <w:t>отдельных</w:t>
            </w:r>
            <w:proofErr w:type="gramEnd"/>
            <w:r w:rsidRPr="00496439">
              <w:rPr>
                <w:sz w:val="26"/>
                <w:szCs w:val="26"/>
              </w:rPr>
              <w:t xml:space="preserve"> входа.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59 257 377,2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0947CC">
              <w:rPr>
                <w:b/>
                <w:sz w:val="26"/>
                <w:szCs w:val="26"/>
              </w:rPr>
              <w:t>11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947CC">
              <w:rPr>
                <w:b/>
                <w:sz w:val="26"/>
                <w:szCs w:val="26"/>
              </w:rPr>
              <w:t>851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947CC">
              <w:rPr>
                <w:b/>
                <w:sz w:val="26"/>
                <w:szCs w:val="26"/>
              </w:rPr>
              <w:t>475,44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0947CC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947CC">
              <w:rPr>
                <w:b/>
                <w:sz w:val="26"/>
                <w:szCs w:val="26"/>
              </w:rPr>
              <w:t>962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947CC">
              <w:rPr>
                <w:b/>
                <w:sz w:val="26"/>
                <w:szCs w:val="26"/>
              </w:rPr>
              <w:t>868,86</w:t>
            </w:r>
          </w:p>
        </w:tc>
      </w:tr>
      <w:tr w:rsidR="00076C9F" w:rsidRPr="007E0EE2" w:rsidTr="000947CC">
        <w:trPr>
          <w:trHeight w:hRule="exact" w:val="353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76C9F" w:rsidRPr="003C333B" w:rsidRDefault="00076C9F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г</w:t>
            </w:r>
            <w:proofErr w:type="gramStart"/>
            <w:r w:rsidRPr="003C333B">
              <w:rPr>
                <w:sz w:val="26"/>
                <w:szCs w:val="26"/>
              </w:rPr>
              <w:t>.Н</w:t>
            </w:r>
            <w:proofErr w:type="gramEnd"/>
            <w:r w:rsidRPr="003C333B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3C333B">
              <w:rPr>
                <w:sz w:val="26"/>
                <w:szCs w:val="26"/>
              </w:rPr>
              <w:t>Сормовский</w:t>
            </w:r>
            <w:proofErr w:type="spellEnd"/>
            <w:r w:rsidRPr="003C333B">
              <w:rPr>
                <w:sz w:val="26"/>
                <w:szCs w:val="26"/>
              </w:rPr>
              <w:t xml:space="preserve"> район, ул.Ф.Энгельса, д.1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52:18:0010026:180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39,4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1954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Нежилое помещение расположено в подвале пятиэтажного жилого дома. Вход совместно с жителями дома через подъезд № 2.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6C9F" w:rsidRPr="003C333B" w:rsidRDefault="003C333B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3C333B">
              <w:rPr>
                <w:b/>
                <w:sz w:val="26"/>
                <w:szCs w:val="26"/>
              </w:rPr>
              <w:t>1 066 164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6C9F" w:rsidRPr="003C333B" w:rsidRDefault="003C333B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3C333B">
              <w:rPr>
                <w:b/>
                <w:sz w:val="26"/>
                <w:szCs w:val="26"/>
              </w:rPr>
              <w:t>213 232,8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076C9F" w:rsidRPr="003C333B" w:rsidRDefault="003C333B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3C333B">
              <w:rPr>
                <w:b/>
                <w:sz w:val="26"/>
                <w:szCs w:val="26"/>
              </w:rPr>
              <w:t>53 308,2</w:t>
            </w:r>
          </w:p>
        </w:tc>
      </w:tr>
      <w:tr w:rsidR="00076C9F" w:rsidRPr="007E0EE2" w:rsidTr="000947CC">
        <w:trPr>
          <w:trHeight w:hRule="exact" w:val="353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76C9F" w:rsidRPr="003C333B" w:rsidRDefault="00076C9F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Нежилое помещение (этаж № 1, этаж № 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76C9F" w:rsidRPr="003C333B" w:rsidRDefault="00076C9F" w:rsidP="004A0FF4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г</w:t>
            </w:r>
            <w:proofErr w:type="gramStart"/>
            <w:r w:rsidRPr="003C333B">
              <w:rPr>
                <w:sz w:val="26"/>
                <w:szCs w:val="26"/>
              </w:rPr>
              <w:t>.Н</w:t>
            </w:r>
            <w:proofErr w:type="gramEnd"/>
            <w:r w:rsidRPr="003C333B">
              <w:rPr>
                <w:sz w:val="26"/>
                <w:szCs w:val="26"/>
              </w:rPr>
              <w:t xml:space="preserve">ижний Новгород, </w:t>
            </w:r>
            <w:proofErr w:type="spellStart"/>
            <w:r w:rsidRPr="003C333B">
              <w:rPr>
                <w:sz w:val="26"/>
                <w:szCs w:val="26"/>
              </w:rPr>
              <w:t>Сормовский</w:t>
            </w:r>
            <w:proofErr w:type="spellEnd"/>
            <w:r w:rsidR="004A0FF4">
              <w:rPr>
                <w:sz w:val="26"/>
                <w:szCs w:val="26"/>
              </w:rPr>
              <w:t xml:space="preserve"> район</w:t>
            </w:r>
            <w:r w:rsidRPr="003C333B">
              <w:rPr>
                <w:sz w:val="26"/>
                <w:szCs w:val="26"/>
              </w:rPr>
              <w:t xml:space="preserve">, </w:t>
            </w:r>
            <w:r w:rsidR="003C333B">
              <w:rPr>
                <w:sz w:val="26"/>
                <w:szCs w:val="26"/>
              </w:rPr>
              <w:t xml:space="preserve">ул.Василия </w:t>
            </w:r>
            <w:r w:rsidRPr="003C333B">
              <w:rPr>
                <w:sz w:val="26"/>
                <w:szCs w:val="26"/>
              </w:rPr>
              <w:t>Иванова, д.12А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52:18:0010496:51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111,2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1980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76C9F" w:rsidRPr="003C333B" w:rsidRDefault="00076C9F" w:rsidP="003C333B">
            <w:pPr>
              <w:ind w:left="57" w:right="57"/>
              <w:jc w:val="center"/>
              <w:rPr>
                <w:sz w:val="26"/>
                <w:szCs w:val="26"/>
              </w:rPr>
            </w:pPr>
            <w:r w:rsidRPr="003C333B">
              <w:rPr>
                <w:sz w:val="26"/>
                <w:szCs w:val="26"/>
              </w:rPr>
              <w:t>Нежилое помещение расположено на первом и втором этажах двухэтажного нежилого здания. Имеется два отдельных входа.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6C9F" w:rsidRPr="003C333B" w:rsidRDefault="003C333B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3C333B">
              <w:rPr>
                <w:b/>
                <w:sz w:val="26"/>
                <w:szCs w:val="26"/>
              </w:rPr>
              <w:t>2 486 432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6C9F" w:rsidRPr="003C333B" w:rsidRDefault="003C333B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3C333B">
              <w:rPr>
                <w:b/>
                <w:sz w:val="26"/>
                <w:szCs w:val="26"/>
              </w:rPr>
              <w:t>497 286,4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076C9F" w:rsidRPr="003C333B" w:rsidRDefault="003C333B" w:rsidP="000947C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3C333B">
              <w:rPr>
                <w:b/>
                <w:sz w:val="26"/>
                <w:szCs w:val="26"/>
              </w:rPr>
              <w:t>124 321,6</w:t>
            </w:r>
          </w:p>
        </w:tc>
      </w:tr>
    </w:tbl>
    <w:p w:rsidR="000947CC" w:rsidRDefault="000947CC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554E86" w:rsidRDefault="00554E86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DE5BD5" w:rsidRDefault="008A238D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</w:t>
      </w:r>
      <w:r w:rsidR="000947CC">
        <w:rPr>
          <w:b/>
          <w:sz w:val="26"/>
          <w:szCs w:val="26"/>
          <w:u w:val="single"/>
        </w:rPr>
        <w:t>лоту № 1</w:t>
      </w:r>
      <w:r w:rsidR="00DE5BD5" w:rsidRPr="006070C7">
        <w:rPr>
          <w:b/>
          <w:sz w:val="26"/>
          <w:szCs w:val="26"/>
          <w:u w:val="single"/>
        </w:rPr>
        <w:t>:</w:t>
      </w:r>
      <w:r w:rsidR="00DE5BD5" w:rsidRPr="008C2487">
        <w:rPr>
          <w:b/>
          <w:sz w:val="26"/>
          <w:szCs w:val="26"/>
        </w:rPr>
        <w:t xml:space="preserve"> </w:t>
      </w:r>
      <w:r w:rsidR="00DE5BD5">
        <w:rPr>
          <w:b/>
          <w:sz w:val="26"/>
          <w:szCs w:val="26"/>
        </w:rPr>
        <w:t>в</w:t>
      </w:r>
      <w:r w:rsidR="00DE5BD5"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DE5BD5" w:rsidRDefault="00DE5BD5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</w:t>
      </w:r>
      <w:r w:rsidR="008A238D">
        <w:rPr>
          <w:b/>
          <w:sz w:val="26"/>
          <w:szCs w:val="26"/>
        </w:rPr>
        <w:t>родажи по стоимости, сложившейся</w:t>
      </w:r>
      <w:r w:rsidRPr="00D30FFA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 w:rsidR="008A238D"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 w:rsidR="008A238D"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 w:rsidR="008A238D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 В случае отказа сособственник</w:t>
      </w:r>
      <w:r w:rsidR="008A238D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 w:rsidR="008A238D"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 w:rsidR="008A238D">
        <w:rPr>
          <w:b/>
          <w:sz w:val="26"/>
          <w:szCs w:val="26"/>
        </w:rPr>
        <w:t>, он утрачивае</w:t>
      </w:r>
      <w:r>
        <w:rPr>
          <w:b/>
          <w:sz w:val="26"/>
          <w:szCs w:val="26"/>
        </w:rPr>
        <w:t>т преимуществе</w:t>
      </w:r>
      <w:r w:rsidR="008A238D">
        <w:rPr>
          <w:b/>
          <w:sz w:val="26"/>
          <w:szCs w:val="26"/>
        </w:rPr>
        <w:t>нное право приобретения объекта</w:t>
      </w:r>
      <w:r>
        <w:rPr>
          <w:b/>
          <w:sz w:val="26"/>
          <w:szCs w:val="26"/>
        </w:rPr>
        <w:t xml:space="preserve">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 w:rsidR="008A238D"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 w:rsidR="008A238D"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</w:t>
      </w:r>
      <w:r w:rsidR="008A238D">
        <w:rPr>
          <w:b/>
          <w:sz w:val="26"/>
          <w:szCs w:val="26"/>
        </w:rPr>
        <w:t xml:space="preserve">данному </w:t>
      </w:r>
      <w:r w:rsidRPr="00D30FFA">
        <w:rPr>
          <w:b/>
          <w:sz w:val="26"/>
          <w:szCs w:val="26"/>
        </w:rPr>
        <w:t>лот</w:t>
      </w:r>
      <w:r w:rsidR="008A238D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.</w:t>
      </w:r>
    </w:p>
    <w:p w:rsidR="00076C9F" w:rsidRDefault="00076C9F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076C9F" w:rsidRDefault="00076C9F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Pr="00076C9F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</w:rPr>
        <w:t>:</w:t>
      </w:r>
      <w:r w:rsidRPr="00AB79DD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AB79DD">
        <w:rPr>
          <w:b/>
          <w:sz w:val="26"/>
          <w:szCs w:val="26"/>
        </w:rPr>
        <w:t>общедомовых</w:t>
      </w:r>
      <w:proofErr w:type="spellEnd"/>
      <w:r w:rsidRPr="00AB79DD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8A238D" w:rsidRDefault="008A238D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C3449" w:rsidRDefault="000947CC" w:rsidP="007E0EE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</w:t>
      </w:r>
      <w:r w:rsidRPr="000236E1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</w:t>
      </w:r>
      <w:r>
        <w:rPr>
          <w:sz w:val="26"/>
          <w:szCs w:val="26"/>
        </w:rPr>
        <w:t xml:space="preserve"> р</w:t>
      </w:r>
      <w:r w:rsidRPr="00214C0E">
        <w:rPr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 xml:space="preserve">29.04.2022 № 62 </w:t>
      </w:r>
      <w:r>
        <w:rPr>
          <w:sz w:val="26"/>
          <w:szCs w:val="26"/>
        </w:rPr>
        <w:t>и постановлением</w:t>
      </w:r>
      <w:r w:rsidRPr="00214C0E">
        <w:rPr>
          <w:sz w:val="26"/>
          <w:szCs w:val="26"/>
        </w:rPr>
        <w:t xml:space="preserve"> администрации </w:t>
      </w:r>
      <w:r w:rsidRPr="006070C7">
        <w:rPr>
          <w:sz w:val="26"/>
          <w:szCs w:val="26"/>
        </w:rPr>
        <w:t>города Нижнего Новгорода от 19.05.2022 № 2200.</w:t>
      </w:r>
    </w:p>
    <w:p w:rsidR="004A0FF4" w:rsidRDefault="004A0FF4" w:rsidP="00076C9F">
      <w:pPr>
        <w:jc w:val="both"/>
        <w:rPr>
          <w:color w:val="000000" w:themeColor="text1"/>
          <w:sz w:val="26"/>
          <w:szCs w:val="26"/>
          <w:u w:val="single"/>
        </w:rPr>
      </w:pPr>
    </w:p>
    <w:p w:rsidR="00076C9F" w:rsidRPr="00A26DB9" w:rsidRDefault="00076C9F" w:rsidP="00076C9F">
      <w:pPr>
        <w:jc w:val="both"/>
        <w:rPr>
          <w:color w:val="000000" w:themeColor="text1"/>
          <w:sz w:val="26"/>
          <w:szCs w:val="26"/>
        </w:rPr>
      </w:pPr>
      <w:r w:rsidRPr="00076C9F">
        <w:rPr>
          <w:color w:val="000000" w:themeColor="text1"/>
          <w:sz w:val="26"/>
          <w:szCs w:val="26"/>
          <w:u w:val="single"/>
        </w:rPr>
        <w:t>По лоту № 2</w:t>
      </w:r>
      <w:r w:rsidRPr="00A26DB9">
        <w:rPr>
          <w:color w:val="000000" w:themeColor="text1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 w:themeColor="text1"/>
          <w:sz w:val="26"/>
          <w:szCs w:val="26"/>
        </w:rPr>
        <w:t>16.12.2020 № 81 и постановлением</w:t>
      </w:r>
      <w:r w:rsidRPr="00A26DB9">
        <w:rPr>
          <w:color w:val="000000" w:themeColor="text1"/>
          <w:sz w:val="26"/>
          <w:szCs w:val="26"/>
        </w:rPr>
        <w:t xml:space="preserve"> администрации города Нижнег</w:t>
      </w:r>
      <w:r w:rsidR="004A0FF4">
        <w:rPr>
          <w:color w:val="000000" w:themeColor="text1"/>
          <w:sz w:val="26"/>
          <w:szCs w:val="26"/>
        </w:rPr>
        <w:t>о Новгорода от 29.01.2021 № 30</w:t>
      </w:r>
      <w:r>
        <w:rPr>
          <w:color w:val="000000" w:themeColor="text1"/>
          <w:sz w:val="26"/>
          <w:szCs w:val="26"/>
        </w:rPr>
        <w:t>9.</w:t>
      </w:r>
    </w:p>
    <w:p w:rsidR="00076C9F" w:rsidRDefault="00076C9F" w:rsidP="00076C9F">
      <w:pPr>
        <w:jc w:val="both"/>
        <w:rPr>
          <w:color w:val="000000" w:themeColor="text1"/>
          <w:sz w:val="26"/>
          <w:szCs w:val="26"/>
        </w:rPr>
      </w:pPr>
      <w:r w:rsidRPr="00A26DB9">
        <w:rPr>
          <w:color w:val="000000" w:themeColor="text1"/>
          <w:sz w:val="26"/>
          <w:szCs w:val="26"/>
        </w:rPr>
        <w:t>Продаж</w:t>
      </w:r>
      <w:r>
        <w:rPr>
          <w:color w:val="000000" w:themeColor="text1"/>
          <w:sz w:val="26"/>
          <w:szCs w:val="26"/>
        </w:rPr>
        <w:t>и</w:t>
      </w:r>
      <w:r w:rsidRPr="00A26DB9">
        <w:rPr>
          <w:color w:val="000000" w:themeColor="text1"/>
          <w:sz w:val="26"/>
          <w:szCs w:val="26"/>
        </w:rPr>
        <w:t xml:space="preserve"> посредством публичного предложения </w:t>
      </w:r>
      <w:r>
        <w:rPr>
          <w:color w:val="000000" w:themeColor="text1"/>
          <w:sz w:val="26"/>
          <w:szCs w:val="26"/>
        </w:rPr>
        <w:t>от 05.08.2021 № 10185, от 15.09.2021 № 10325 не состоялись</w:t>
      </w:r>
      <w:r w:rsidRPr="00A26DB9">
        <w:rPr>
          <w:color w:val="000000" w:themeColor="text1"/>
          <w:sz w:val="26"/>
          <w:szCs w:val="26"/>
        </w:rPr>
        <w:t xml:space="preserve"> в связи с отсутствием заявок.</w:t>
      </w:r>
    </w:p>
    <w:p w:rsidR="00076C9F" w:rsidRPr="00EC348F" w:rsidRDefault="00076C9F" w:rsidP="00076C9F">
      <w:pPr>
        <w:jc w:val="both"/>
        <w:rPr>
          <w:color w:val="000000"/>
          <w:sz w:val="26"/>
          <w:szCs w:val="26"/>
          <w:lang w:bidi="ru-RU"/>
        </w:rPr>
      </w:pPr>
      <w:r w:rsidRPr="006E57E9">
        <w:rPr>
          <w:color w:val="000000"/>
          <w:sz w:val="26"/>
          <w:szCs w:val="26"/>
          <w:u w:val="single"/>
          <w:lang w:bidi="ru-RU"/>
        </w:rPr>
        <w:lastRenderedPageBreak/>
        <w:t>По лоту №</w:t>
      </w:r>
      <w:r>
        <w:rPr>
          <w:color w:val="000000"/>
          <w:sz w:val="26"/>
          <w:szCs w:val="26"/>
          <w:u w:val="single"/>
          <w:lang w:bidi="ru-RU"/>
        </w:rPr>
        <w:t xml:space="preserve"> 3</w:t>
      </w:r>
      <w:r>
        <w:rPr>
          <w:color w:val="000000"/>
          <w:sz w:val="26"/>
          <w:szCs w:val="26"/>
          <w:lang w:bidi="ru-RU"/>
        </w:rPr>
        <w:t xml:space="preserve"> р</w:t>
      </w:r>
      <w:r w:rsidRPr="00EC348F">
        <w:rPr>
          <w:color w:val="000000"/>
          <w:sz w:val="26"/>
          <w:szCs w:val="26"/>
          <w:lang w:bidi="ru-RU"/>
        </w:rPr>
        <w:t xml:space="preserve">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EC348F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09.03.2021 № 902.</w:t>
      </w:r>
    </w:p>
    <w:p w:rsidR="00076C9F" w:rsidRPr="00EC348F" w:rsidRDefault="00076C9F" w:rsidP="00076C9F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EC348F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20.07.2021 № 10130 по продаже не состоялись</w:t>
      </w:r>
      <w:r w:rsidRPr="00EC348F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076C9F" w:rsidRDefault="00076C9F" w:rsidP="00076C9F">
      <w:pPr>
        <w:jc w:val="both"/>
        <w:rPr>
          <w:sz w:val="26"/>
          <w:szCs w:val="26"/>
        </w:rPr>
      </w:pPr>
      <w:r w:rsidRPr="00EC348F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07.10.2021 № 10398, от 23.11.2021 № 10556</w:t>
      </w:r>
      <w:r w:rsidRPr="00EC348F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0947CC" w:rsidRDefault="000947CC" w:rsidP="007E0EE2">
      <w:pPr>
        <w:jc w:val="both"/>
        <w:rPr>
          <w:rFonts w:eastAsia="Calibri"/>
          <w:b/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0947CC">
        <w:rPr>
          <w:rFonts w:eastAsia="Calibri"/>
          <w:sz w:val="26"/>
          <w:szCs w:val="26"/>
        </w:rPr>
        <w:t xml:space="preserve"> </w:t>
      </w:r>
      <w:r w:rsidR="00076C9F">
        <w:rPr>
          <w:rFonts w:eastAsia="Calibri"/>
          <w:sz w:val="26"/>
          <w:szCs w:val="26"/>
        </w:rPr>
        <w:t>08.06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0947CC">
        <w:rPr>
          <w:rFonts w:eastAsia="Calibri"/>
          <w:sz w:val="26"/>
          <w:szCs w:val="26"/>
        </w:rPr>
        <w:t xml:space="preserve"> </w:t>
      </w:r>
      <w:r w:rsidR="00282D00">
        <w:rPr>
          <w:rFonts w:eastAsia="Calibri"/>
          <w:sz w:val="26"/>
          <w:szCs w:val="26"/>
        </w:rPr>
        <w:t>05.07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0947CC">
        <w:rPr>
          <w:sz w:val="26"/>
          <w:szCs w:val="26"/>
        </w:rPr>
        <w:t xml:space="preserve"> </w:t>
      </w:r>
      <w:r w:rsidR="00282D00">
        <w:rPr>
          <w:sz w:val="26"/>
          <w:szCs w:val="26"/>
        </w:rPr>
        <w:t>05.07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0947CC">
        <w:rPr>
          <w:rFonts w:eastAsia="Calibri"/>
          <w:sz w:val="26"/>
          <w:szCs w:val="26"/>
        </w:rPr>
        <w:t xml:space="preserve"> </w:t>
      </w:r>
      <w:r w:rsidR="00282D00">
        <w:rPr>
          <w:rFonts w:eastAsia="Calibri"/>
          <w:sz w:val="26"/>
          <w:szCs w:val="26"/>
        </w:rPr>
        <w:t>11.07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0947CC">
        <w:rPr>
          <w:rFonts w:eastAsia="Calibri"/>
          <w:b/>
          <w:sz w:val="30"/>
          <w:szCs w:val="30"/>
          <w:u w:val="single"/>
        </w:rPr>
        <w:t xml:space="preserve"> </w:t>
      </w:r>
      <w:r w:rsidR="00282D00">
        <w:rPr>
          <w:rFonts w:eastAsia="Calibri"/>
          <w:b/>
          <w:sz w:val="30"/>
          <w:szCs w:val="30"/>
          <w:u w:val="single"/>
        </w:rPr>
        <w:t>12.07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7E0EE2" w:rsidRDefault="007E0EE2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lastRenderedPageBreak/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Во время проведения процедуры аукциона Организатор обеспечивает доступ участников к закрытой части электронной площадки 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lastRenderedPageBreak/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 xml:space="preserve"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</w:t>
      </w:r>
      <w:r w:rsidRPr="00FE2A2E">
        <w:rPr>
          <w:sz w:val="26"/>
          <w:szCs w:val="26"/>
        </w:rPr>
        <w:lastRenderedPageBreak/>
        <w:t>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</w:t>
      </w:r>
      <w:r w:rsidRPr="00FE2A2E">
        <w:rPr>
          <w:spacing w:val="-3"/>
          <w:sz w:val="26"/>
          <w:szCs w:val="26"/>
        </w:rPr>
        <w:lastRenderedPageBreak/>
        <w:t xml:space="preserve">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9364AE" w:rsidRPr="009364AE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9364AE">
        <w:rPr>
          <w:spacing w:val="-3"/>
          <w:sz w:val="26"/>
          <w:szCs w:val="26"/>
        </w:rPr>
      </w:r>
      <w:r w:rsidR="009364AE">
        <w:rPr>
          <w:spacing w:val="-3"/>
          <w:sz w:val="26"/>
          <w:szCs w:val="26"/>
        </w:rPr>
        <w:fldChar w:fldCharType="separate"/>
      </w:r>
      <w:r w:rsidR="009364AE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F4" w:rsidRDefault="004A0FF4" w:rsidP="00D42863">
      <w:r>
        <w:separator/>
      </w:r>
    </w:p>
  </w:endnote>
  <w:endnote w:type="continuationSeparator" w:id="0">
    <w:p w:rsidR="004A0FF4" w:rsidRDefault="004A0FF4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F4" w:rsidRDefault="004A0FF4" w:rsidP="00D42863">
      <w:r>
        <w:separator/>
      </w:r>
    </w:p>
  </w:footnote>
  <w:footnote w:type="continuationSeparator" w:id="0">
    <w:p w:rsidR="004A0FF4" w:rsidRDefault="004A0FF4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F4" w:rsidRDefault="009364AE">
    <w:pPr>
      <w:pStyle w:val="ab"/>
      <w:jc w:val="center"/>
    </w:pPr>
    <w:fldSimple w:instr=" PAGE   \* MERGEFORMAT ">
      <w:r w:rsidR="004462EC">
        <w:rPr>
          <w:noProof/>
        </w:rPr>
        <w:t>2</w:t>
      </w:r>
    </w:fldSimple>
  </w:p>
  <w:p w:rsidR="004A0FF4" w:rsidRDefault="004A0FF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22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62EC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81E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5D4B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4AE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3EF4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31D9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5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E183C-BC12-4128-A752-8211100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5521</Words>
  <Characters>41179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46607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s.timicheva</cp:lastModifiedBy>
  <cp:revision>10</cp:revision>
  <cp:lastPrinted>2022-06-06T15:08:00Z</cp:lastPrinted>
  <dcterms:created xsi:type="dcterms:W3CDTF">2022-06-06T13:46:00Z</dcterms:created>
  <dcterms:modified xsi:type="dcterms:W3CDTF">2022-06-07T14:47:00Z</dcterms:modified>
</cp:coreProperties>
</file>