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F346FF" w:rsidRPr="00327291">
        <w:rPr>
          <w:b/>
          <w:color w:val="000000"/>
          <w:sz w:val="26"/>
          <w:szCs w:val="26"/>
        </w:rPr>
        <w:t>5</w:t>
      </w:r>
      <w:r w:rsidR="00EA4F53">
        <w:rPr>
          <w:b/>
          <w:color w:val="000000"/>
          <w:sz w:val="26"/>
          <w:szCs w:val="26"/>
        </w:rPr>
        <w:t>5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505E0A" w:rsidRPr="00327291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EA4F53">
        <w:rPr>
          <w:b/>
          <w:sz w:val="30"/>
          <w:szCs w:val="30"/>
          <w:u w:val="single"/>
        </w:rPr>
        <w:t>29</w:t>
      </w:r>
      <w:r w:rsidR="007B0683">
        <w:rPr>
          <w:b/>
          <w:sz w:val="30"/>
          <w:szCs w:val="30"/>
          <w:u w:val="single"/>
        </w:rPr>
        <w:t>»</w:t>
      </w:r>
      <w:r w:rsidR="00E85DC4" w:rsidRPr="00327291">
        <w:rPr>
          <w:b/>
          <w:sz w:val="30"/>
          <w:szCs w:val="30"/>
          <w:u w:val="single"/>
        </w:rPr>
        <w:t xml:space="preserve"> ноября</w:t>
      </w:r>
      <w:r w:rsidR="00713435" w:rsidRPr="00327291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505E0A" w:rsidRPr="00327291">
        <w:rPr>
          <w:b/>
          <w:sz w:val="30"/>
          <w:szCs w:val="30"/>
          <w:u w:val="single"/>
        </w:rPr>
        <w:t>2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440308" w:rsidRPr="0089085A" w:rsidTr="003435C4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  <w:lang w:val="en-US" w:eastAsia="en-US" w:bidi="en-US"/>
              </w:rPr>
              <w:t>№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лот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Наименование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Местонахождение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Общая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площадь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кв</w:t>
            </w:r>
            <w:proofErr w:type="gramStart"/>
            <w:r w:rsidRPr="0089085A">
              <w:rPr>
                <w:rStyle w:val="Bodytext2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Начальная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цена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объекта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Задаток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(20%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Шаг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"/>
                <w:sz w:val="22"/>
                <w:szCs w:val="22"/>
              </w:rPr>
              <w:t>аукциона</w:t>
            </w:r>
          </w:p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rStyle w:val="Bodytext211pt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Площадь земельного участка, кв</w:t>
            </w:r>
            <w:proofErr w:type="gramStart"/>
            <w:r w:rsidRPr="0089085A">
              <w:rPr>
                <w:bCs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440308" w:rsidRPr="0089085A" w:rsidRDefault="00440308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 w:rsidRPr="0089085A">
              <w:rPr>
                <w:bCs/>
                <w:sz w:val="22"/>
                <w:szCs w:val="22"/>
              </w:rPr>
              <w:t>Стоимость земельного участка (руб.) (НДС не облагается)</w:t>
            </w:r>
          </w:p>
        </w:tc>
      </w:tr>
      <w:tr w:rsidR="009B0E5C" w:rsidRPr="0089085A" w:rsidTr="0089085A">
        <w:trPr>
          <w:trHeight w:hRule="exact" w:val="325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9B0E5C" w:rsidRPr="0089085A" w:rsidRDefault="009B0E5C" w:rsidP="003435C4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9B0E5C" w:rsidRPr="00132109" w:rsidRDefault="009B0E5C" w:rsidP="009B0E5C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Нежилое здание</w:t>
            </w:r>
          </w:p>
          <w:p w:rsidR="009B0E5C" w:rsidRPr="00132109" w:rsidRDefault="009B0E5C" w:rsidP="009B0E5C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(количество этажей</w:t>
            </w:r>
            <w:r>
              <w:rPr>
                <w:sz w:val="22"/>
                <w:szCs w:val="22"/>
              </w:rPr>
              <w:t>: 1, в том числе подземных 0</w:t>
            </w:r>
            <w:r w:rsidRPr="00132109">
              <w:rPr>
                <w:sz w:val="22"/>
                <w:szCs w:val="22"/>
              </w:rPr>
              <w:t>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9B0E5C" w:rsidRPr="00132109" w:rsidRDefault="009B0E5C" w:rsidP="009B0E5C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г</w:t>
            </w:r>
            <w:proofErr w:type="gramStart"/>
            <w:r w:rsidRPr="00132109">
              <w:rPr>
                <w:sz w:val="22"/>
                <w:szCs w:val="22"/>
              </w:rPr>
              <w:t>.Н</w:t>
            </w:r>
            <w:proofErr w:type="gramEnd"/>
            <w:r w:rsidRPr="00132109">
              <w:rPr>
                <w:sz w:val="22"/>
                <w:szCs w:val="22"/>
              </w:rPr>
              <w:t xml:space="preserve">ижний Новгород, Автозаводский район, совхоз </w:t>
            </w:r>
            <w:proofErr w:type="spellStart"/>
            <w:r w:rsidRPr="00132109">
              <w:rPr>
                <w:sz w:val="22"/>
                <w:szCs w:val="22"/>
              </w:rPr>
              <w:t>Доскино</w:t>
            </w:r>
            <w:proofErr w:type="spellEnd"/>
            <w:r w:rsidRPr="00132109">
              <w:rPr>
                <w:sz w:val="22"/>
                <w:szCs w:val="22"/>
              </w:rPr>
              <w:t xml:space="preserve"> у здания № 20 корпус 5 по улице </w:t>
            </w:r>
            <w:proofErr w:type="spellStart"/>
            <w:r w:rsidRPr="00132109">
              <w:rPr>
                <w:sz w:val="22"/>
                <w:szCs w:val="22"/>
              </w:rPr>
              <w:t>Заслонова</w:t>
            </w:r>
            <w:proofErr w:type="spellEnd"/>
          </w:p>
        </w:tc>
        <w:tc>
          <w:tcPr>
            <w:tcW w:w="681" w:type="dxa"/>
            <w:shd w:val="clear" w:color="auto" w:fill="FFFFFF"/>
            <w:vAlign w:val="center"/>
          </w:tcPr>
          <w:p w:rsidR="009B0E5C" w:rsidRPr="00132109" w:rsidRDefault="009B0E5C" w:rsidP="009B0E5C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52:18:0040150:170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B0E5C" w:rsidRPr="00132109" w:rsidRDefault="009B0E5C" w:rsidP="009B0E5C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963,9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9B0E5C" w:rsidRPr="00132109" w:rsidRDefault="009B0E5C" w:rsidP="009B0E5C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1968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9B0E5C" w:rsidRPr="00132109" w:rsidRDefault="009B0E5C" w:rsidP="009B0E5C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Нежилое отдельно стоящее одноэтажное здание.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9B0E5C" w:rsidRPr="0089085A" w:rsidRDefault="00E71A2D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4 552 320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9B0E5C" w:rsidRPr="0089085A" w:rsidRDefault="00E71A2D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71A2D">
              <w:rPr>
                <w:b/>
                <w:sz w:val="22"/>
                <w:szCs w:val="22"/>
              </w:rPr>
              <w:t>910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71A2D">
              <w:rPr>
                <w:b/>
                <w:sz w:val="22"/>
                <w:szCs w:val="22"/>
              </w:rPr>
              <w:t>464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9B0E5C" w:rsidRPr="0089085A" w:rsidRDefault="00E71A2D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71A2D">
              <w:rPr>
                <w:b/>
                <w:sz w:val="22"/>
                <w:szCs w:val="22"/>
              </w:rPr>
              <w:t>227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71A2D">
              <w:rPr>
                <w:b/>
                <w:sz w:val="22"/>
                <w:szCs w:val="22"/>
              </w:rPr>
              <w:t>616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9B0E5C" w:rsidRPr="00132109" w:rsidRDefault="009B0E5C" w:rsidP="009B0E5C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2 220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9B0E5C" w:rsidRPr="00132109" w:rsidRDefault="009B0E5C" w:rsidP="009B0E5C">
            <w:pPr>
              <w:jc w:val="center"/>
              <w:rPr>
                <w:sz w:val="22"/>
                <w:szCs w:val="22"/>
              </w:rPr>
            </w:pPr>
            <w:r w:rsidRPr="00132109">
              <w:rPr>
                <w:sz w:val="22"/>
                <w:szCs w:val="22"/>
              </w:rPr>
              <w:t>52:18:0040150:332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E71A2D" w:rsidRPr="0089085A" w:rsidRDefault="00E71A2D" w:rsidP="00E71A2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4 149 180</w:t>
            </w:r>
          </w:p>
        </w:tc>
      </w:tr>
      <w:tr w:rsidR="007E5B64" w:rsidRPr="0089085A" w:rsidTr="003435C4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7E5B64" w:rsidRPr="0089085A" w:rsidRDefault="007E5B64" w:rsidP="003435C4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15E60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415E60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П1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52:18:0020074:577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152,8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sz w:val="22"/>
                <w:szCs w:val="22"/>
              </w:rPr>
            </w:pPr>
            <w:r w:rsidRPr="00415E60">
              <w:rPr>
                <w:sz w:val="22"/>
                <w:szCs w:val="22"/>
              </w:rPr>
              <w:t>1984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двухэ</w:t>
            </w:r>
            <w:r>
              <w:rPr>
                <w:color w:val="000000"/>
                <w:sz w:val="22"/>
                <w:szCs w:val="22"/>
                <w:lang w:bidi="ru-RU"/>
              </w:rPr>
              <w:t>тажного нежилого здания. Имеется</w:t>
            </w:r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3 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отдельных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входа</w:t>
            </w:r>
            <w:r w:rsidRPr="00415E60"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7E5B64" w:rsidRPr="0089085A" w:rsidRDefault="007E5B64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4 487 740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E5B64" w:rsidRPr="0089085A" w:rsidRDefault="007E5B64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E5B64">
              <w:rPr>
                <w:b/>
                <w:sz w:val="22"/>
                <w:szCs w:val="22"/>
              </w:rPr>
              <w:t>897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E5B64">
              <w:rPr>
                <w:b/>
                <w:sz w:val="22"/>
                <w:szCs w:val="22"/>
              </w:rPr>
              <w:t>548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7E5B64" w:rsidRPr="0089085A" w:rsidRDefault="007E5B64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7E5B64">
              <w:rPr>
                <w:b/>
                <w:sz w:val="22"/>
                <w:szCs w:val="22"/>
              </w:rPr>
              <w:t>224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E5B64">
              <w:rPr>
                <w:b/>
                <w:sz w:val="22"/>
                <w:szCs w:val="22"/>
              </w:rPr>
              <w:t>387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7E5B64" w:rsidRPr="0089085A" w:rsidRDefault="007E5B64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7E5B64" w:rsidRPr="0089085A" w:rsidRDefault="007E5B64" w:rsidP="003435C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7E5B64" w:rsidRPr="0089085A" w:rsidRDefault="007E5B64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7E5B64" w:rsidRPr="0089085A" w:rsidTr="003435C4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7E5B64" w:rsidRPr="0089085A" w:rsidRDefault="007E5B64" w:rsidP="003435C4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 w:rsidRPr="0089085A">
              <w:rPr>
                <w:rStyle w:val="Bodytext2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(этаж № 1)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15E60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415E60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П2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52:18:0020074:578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60,0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sz w:val="22"/>
                <w:szCs w:val="22"/>
              </w:rPr>
              <w:t>1984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этаже двухэтажного нежилого здания. Имеется 1 отдельный вход.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EA4F53" w:rsidRPr="0089085A" w:rsidRDefault="00EA4F53" w:rsidP="00EA4F53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2 124 600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E5B64" w:rsidRPr="0089085A" w:rsidRDefault="00EA4F53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A4F53">
              <w:rPr>
                <w:b/>
                <w:sz w:val="22"/>
                <w:szCs w:val="22"/>
              </w:rPr>
              <w:t>424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920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7E5B64" w:rsidRPr="0089085A" w:rsidRDefault="00EA4F53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A4F53">
              <w:rPr>
                <w:b/>
                <w:sz w:val="22"/>
                <w:szCs w:val="22"/>
              </w:rPr>
              <w:t>106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230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7E5B64" w:rsidRPr="0089085A" w:rsidRDefault="007E5B64" w:rsidP="007E5B6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7E5B64" w:rsidRPr="0089085A" w:rsidRDefault="007E5B64" w:rsidP="007E5B6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7E5B64" w:rsidRPr="0089085A" w:rsidRDefault="007E5B64" w:rsidP="007E5B6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7E5B64" w:rsidRPr="0089085A" w:rsidTr="003435C4">
        <w:trPr>
          <w:trHeight w:hRule="exact" w:val="354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7E5B64" w:rsidRPr="0089085A" w:rsidRDefault="007E5B64" w:rsidP="003435C4">
            <w:pPr>
              <w:ind w:left="57" w:right="57"/>
              <w:jc w:val="center"/>
              <w:rPr>
                <w:rStyle w:val="Bodytext2"/>
                <w:sz w:val="22"/>
                <w:szCs w:val="22"/>
                <w:lang w:eastAsia="en-US" w:bidi="en-US"/>
              </w:rPr>
            </w:pPr>
            <w:r>
              <w:rPr>
                <w:rStyle w:val="Bodytext2"/>
                <w:sz w:val="22"/>
                <w:szCs w:val="22"/>
                <w:lang w:eastAsia="en-US" w:bidi="en-US"/>
              </w:rPr>
              <w:lastRenderedPageBreak/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(этажи №№ 1, 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г</w:t>
            </w:r>
            <w:proofErr w:type="gramStart"/>
            <w:r w:rsidRPr="00415E60">
              <w:rPr>
                <w:color w:val="000000"/>
                <w:sz w:val="22"/>
                <w:szCs w:val="22"/>
                <w:lang w:bidi="ru-RU"/>
              </w:rPr>
              <w:t>.Н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ижний Новгород, Московский район, ул.50-летия Победы, д.34А, </w:t>
            </w:r>
            <w:proofErr w:type="spellStart"/>
            <w:r w:rsidRPr="00415E60">
              <w:rPr>
                <w:color w:val="000000"/>
                <w:sz w:val="22"/>
                <w:szCs w:val="22"/>
                <w:lang w:bidi="ru-RU"/>
              </w:rPr>
              <w:t>пом</w:t>
            </w:r>
            <w:proofErr w:type="spell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П3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52:18:0020074:579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237,8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sz w:val="22"/>
                <w:szCs w:val="22"/>
              </w:rPr>
              <w:t>1984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7E5B64" w:rsidRPr="00415E60" w:rsidRDefault="007E5B64" w:rsidP="007E5B64">
            <w:pPr>
              <w:ind w:left="57" w:right="57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415E60">
              <w:rPr>
                <w:color w:val="000000"/>
                <w:sz w:val="22"/>
                <w:szCs w:val="22"/>
                <w:lang w:bidi="ru-RU"/>
              </w:rPr>
              <w:t>Нежилое помещение расположено на первом и втором этажах двухэ</w:t>
            </w:r>
            <w:r>
              <w:rPr>
                <w:color w:val="000000"/>
                <w:sz w:val="22"/>
                <w:szCs w:val="22"/>
                <w:lang w:bidi="ru-RU"/>
              </w:rPr>
              <w:t>тажного нежилого здания. Имеется</w:t>
            </w:r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2 </w:t>
            </w: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отдельных</w:t>
            </w:r>
            <w:proofErr w:type="gramEnd"/>
            <w:r w:rsidRPr="00415E60">
              <w:rPr>
                <w:color w:val="000000"/>
                <w:sz w:val="22"/>
                <w:szCs w:val="22"/>
                <w:lang w:bidi="ru-RU"/>
              </w:rPr>
              <w:t xml:space="preserve"> вход</w:t>
            </w:r>
            <w:r>
              <w:rPr>
                <w:color w:val="000000"/>
                <w:sz w:val="22"/>
                <w:szCs w:val="22"/>
                <w:lang w:bidi="ru-RU"/>
              </w:rPr>
              <w:t>а: 1 – с фасада, 1 – по лестничному маршу с торца здания.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7E5B64" w:rsidRPr="0089085A" w:rsidRDefault="00EA4F53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6 647 370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7E5B64" w:rsidRPr="0089085A" w:rsidRDefault="00EA4F53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A4F5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329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474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7E5B64" w:rsidRPr="0089085A" w:rsidRDefault="00EA4F53" w:rsidP="003435C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EA4F53">
              <w:rPr>
                <w:b/>
                <w:sz w:val="22"/>
                <w:szCs w:val="22"/>
              </w:rPr>
              <w:t>332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A4F53">
              <w:rPr>
                <w:b/>
                <w:sz w:val="22"/>
                <w:szCs w:val="22"/>
              </w:rPr>
              <w:t>368,5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7E5B64" w:rsidRPr="0089085A" w:rsidRDefault="007E5B64" w:rsidP="007E5B6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7E5B64" w:rsidRPr="0089085A" w:rsidRDefault="007E5B64" w:rsidP="007E5B64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7E5B64" w:rsidRPr="0089085A" w:rsidRDefault="007E5B64" w:rsidP="007E5B64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B463AC" w:rsidRDefault="00B463AC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85621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7D41D8" w:rsidRDefault="007D41D8" w:rsidP="00F726F0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E71A2D" w:rsidRDefault="003435C4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77FA0">
        <w:rPr>
          <w:b/>
          <w:sz w:val="26"/>
          <w:szCs w:val="26"/>
          <w:u w:val="single"/>
        </w:rPr>
        <w:t xml:space="preserve">По лоту № </w:t>
      </w:r>
      <w:r>
        <w:rPr>
          <w:b/>
          <w:sz w:val="26"/>
          <w:szCs w:val="26"/>
          <w:u w:val="single"/>
        </w:rPr>
        <w:t>1</w:t>
      </w:r>
      <w:r w:rsidRPr="00C77FA0">
        <w:rPr>
          <w:b/>
          <w:sz w:val="26"/>
          <w:szCs w:val="26"/>
          <w:u w:val="single"/>
        </w:rPr>
        <w:t>:</w:t>
      </w:r>
      <w:r w:rsidRPr="008C2487">
        <w:rPr>
          <w:b/>
          <w:sz w:val="26"/>
          <w:szCs w:val="26"/>
        </w:rPr>
        <w:t xml:space="preserve"> </w:t>
      </w:r>
      <w:r w:rsidR="00E71A2D">
        <w:rPr>
          <w:b/>
          <w:sz w:val="26"/>
          <w:szCs w:val="26"/>
        </w:rPr>
        <w:t>в</w:t>
      </w:r>
      <w:r w:rsidR="00E71A2D" w:rsidRPr="008C2487">
        <w:rPr>
          <w:b/>
          <w:sz w:val="26"/>
          <w:szCs w:val="26"/>
        </w:rPr>
        <w:t xml:space="preserve"> соответствии со ст. 28 ФЗ «О приватизации государственного и муниципального имущества» № 178-ФЗ от 21.12.2001 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3435C4" w:rsidRDefault="00E71A2D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8C2487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0A4945">
        <w:rPr>
          <w:b/>
          <w:sz w:val="26"/>
          <w:szCs w:val="26"/>
        </w:rPr>
        <w:t>52:18:0040150:332</w:t>
      </w:r>
      <w:r w:rsidRPr="008C2487">
        <w:rPr>
          <w:b/>
          <w:sz w:val="26"/>
          <w:szCs w:val="26"/>
        </w:rPr>
        <w:t xml:space="preserve">, площадь </w:t>
      </w:r>
      <w:r w:rsidRPr="008C2487">
        <w:rPr>
          <w:b/>
          <w:sz w:val="26"/>
          <w:szCs w:val="26"/>
        </w:rPr>
        <w:br/>
      </w:r>
      <w:r>
        <w:rPr>
          <w:b/>
          <w:sz w:val="26"/>
          <w:szCs w:val="26"/>
        </w:rPr>
        <w:t>2 220,0</w:t>
      </w:r>
      <w:r w:rsidRPr="003F5A1C">
        <w:rPr>
          <w:b/>
          <w:sz w:val="26"/>
          <w:szCs w:val="26"/>
        </w:rPr>
        <w:t xml:space="preserve"> </w:t>
      </w:r>
      <w:r w:rsidRPr="008C2487">
        <w:rPr>
          <w:b/>
          <w:sz w:val="26"/>
          <w:szCs w:val="26"/>
        </w:rPr>
        <w:t>кв</w:t>
      </w:r>
      <w:proofErr w:type="gramStart"/>
      <w:r w:rsidRPr="008C2487">
        <w:rPr>
          <w:b/>
          <w:sz w:val="26"/>
          <w:szCs w:val="26"/>
        </w:rPr>
        <w:t>.м</w:t>
      </w:r>
      <w:proofErr w:type="gramEnd"/>
      <w:r w:rsidRPr="008C2487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склады</w:t>
      </w:r>
      <w:r w:rsidRPr="008C2487">
        <w:rPr>
          <w:b/>
          <w:sz w:val="26"/>
          <w:szCs w:val="26"/>
        </w:rPr>
        <w:t>.</w:t>
      </w:r>
      <w:r w:rsidR="003435C4" w:rsidRPr="001031AC">
        <w:rPr>
          <w:b/>
          <w:sz w:val="26"/>
          <w:szCs w:val="26"/>
        </w:rPr>
        <w:t xml:space="preserve"> </w:t>
      </w:r>
    </w:p>
    <w:p w:rsidR="003435C4" w:rsidRDefault="003435C4" w:rsidP="003435C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земельного участка в размере </w:t>
      </w:r>
      <w:r w:rsidR="00E71A2D">
        <w:rPr>
          <w:b/>
          <w:sz w:val="26"/>
          <w:szCs w:val="26"/>
        </w:rPr>
        <w:t>4 149 180</w:t>
      </w:r>
      <w:r>
        <w:rPr>
          <w:b/>
          <w:sz w:val="26"/>
          <w:szCs w:val="26"/>
        </w:rPr>
        <w:t xml:space="preserve"> (</w:t>
      </w:r>
      <w:r w:rsidR="00E71A2D">
        <w:rPr>
          <w:b/>
          <w:sz w:val="26"/>
          <w:szCs w:val="26"/>
        </w:rPr>
        <w:t>ч</w:t>
      </w:r>
      <w:r w:rsidR="00E71A2D" w:rsidRPr="00E71A2D">
        <w:rPr>
          <w:b/>
          <w:sz w:val="26"/>
          <w:szCs w:val="26"/>
        </w:rPr>
        <w:t>етыре миллиона сто сорок девять тысяч сто восемьдесят</w:t>
      </w:r>
      <w:r w:rsidR="00E71A2D">
        <w:rPr>
          <w:b/>
          <w:sz w:val="26"/>
          <w:szCs w:val="26"/>
        </w:rPr>
        <w:t xml:space="preserve">) рублей </w:t>
      </w:r>
      <w:r>
        <w:rPr>
          <w:b/>
          <w:sz w:val="26"/>
          <w:szCs w:val="26"/>
        </w:rPr>
        <w:t xml:space="preserve">оплачивается единовременным платежом победителем торгов </w:t>
      </w:r>
      <w:r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>
        <w:rPr>
          <w:b/>
          <w:sz w:val="26"/>
          <w:szCs w:val="26"/>
        </w:rPr>
        <w:t>торгов</w:t>
      </w:r>
      <w:r w:rsidRPr="00D77532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>
        <w:rPr>
          <w:b/>
          <w:sz w:val="26"/>
          <w:szCs w:val="26"/>
        </w:rPr>
        <w:t>с даты заключения</w:t>
      </w:r>
      <w:proofErr w:type="gramEnd"/>
      <w:r>
        <w:rPr>
          <w:b/>
          <w:sz w:val="26"/>
          <w:szCs w:val="26"/>
        </w:rPr>
        <w:t xml:space="preserve"> договора купли-продажи.</w:t>
      </w:r>
    </w:p>
    <w:p w:rsidR="00E71A2D" w:rsidRPr="000A4945" w:rsidRDefault="00E71A2D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0A4945">
        <w:rPr>
          <w:b/>
          <w:sz w:val="26"/>
          <w:szCs w:val="26"/>
        </w:rPr>
        <w:t>В соответствии с Правилами землепользования и застройки города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7E5B64">
        <w:rPr>
          <w:b/>
          <w:sz w:val="26"/>
          <w:szCs w:val="26"/>
        </w:rPr>
        <w:t>,</w:t>
      </w:r>
      <w:r w:rsidRPr="000A4945">
        <w:rPr>
          <w:b/>
          <w:sz w:val="26"/>
          <w:szCs w:val="26"/>
        </w:rPr>
        <w:t xml:space="preserve"> земельный участок расположен в границах территориальной зоны </w:t>
      </w:r>
      <w:proofErr w:type="spellStart"/>
      <w:r w:rsidRPr="000A4945">
        <w:rPr>
          <w:b/>
          <w:sz w:val="26"/>
          <w:szCs w:val="26"/>
        </w:rPr>
        <w:t>ТПК-о</w:t>
      </w:r>
      <w:proofErr w:type="spellEnd"/>
      <w:r w:rsidRPr="000A4945">
        <w:rPr>
          <w:b/>
          <w:sz w:val="26"/>
          <w:szCs w:val="26"/>
        </w:rPr>
        <w:t xml:space="preserve"> (зона коммунально-обслуживающих объектов, предусматривающих небольшие посетительские потоки, V класса опасности).</w:t>
      </w:r>
      <w:proofErr w:type="gramEnd"/>
    </w:p>
    <w:p w:rsidR="00E71A2D" w:rsidRPr="000A4945" w:rsidRDefault="00E71A2D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A4945">
        <w:rPr>
          <w:b/>
          <w:sz w:val="26"/>
          <w:szCs w:val="26"/>
        </w:rPr>
        <w:t>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расположен в границах:</w:t>
      </w:r>
    </w:p>
    <w:p w:rsidR="00E71A2D" w:rsidRPr="000A4945" w:rsidRDefault="00E71A2D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A4945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зоны «Б» и</w:t>
      </w:r>
      <w:r>
        <w:rPr>
          <w:b/>
          <w:sz w:val="26"/>
          <w:szCs w:val="26"/>
        </w:rPr>
        <w:t xml:space="preserve"> </w:t>
      </w:r>
      <w:r w:rsidRPr="000A4945">
        <w:rPr>
          <w:b/>
          <w:sz w:val="26"/>
          <w:szCs w:val="26"/>
        </w:rPr>
        <w:t>«В»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E71A2D" w:rsidRPr="000A4945" w:rsidRDefault="00E71A2D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- </w:t>
      </w:r>
      <w:r w:rsidRPr="000A4945">
        <w:rPr>
          <w:b/>
          <w:sz w:val="26"/>
          <w:szCs w:val="26"/>
        </w:rPr>
        <w:t>зоны санитарного разрыва вдоль стандартных маршрутов взлета и посадки воздушных судов ОАО «</w:t>
      </w:r>
      <w:proofErr w:type="gramStart"/>
      <w:r w:rsidRPr="000A4945">
        <w:rPr>
          <w:b/>
          <w:sz w:val="26"/>
          <w:szCs w:val="26"/>
        </w:rPr>
        <w:t>НАЗ</w:t>
      </w:r>
      <w:proofErr w:type="gramEnd"/>
      <w:r w:rsidRPr="000A4945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E71A2D" w:rsidRPr="000A4945" w:rsidRDefault="00E71A2D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0A4945">
        <w:rPr>
          <w:b/>
          <w:sz w:val="26"/>
          <w:szCs w:val="26"/>
        </w:rPr>
        <w:t xml:space="preserve">зоны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0A4945">
        <w:rPr>
          <w:b/>
          <w:sz w:val="26"/>
          <w:szCs w:val="26"/>
        </w:rPr>
        <w:t>Чебоксарское</w:t>
      </w:r>
      <w:proofErr w:type="spellEnd"/>
      <w:r w:rsidRPr="000A4945">
        <w:rPr>
          <w:b/>
          <w:sz w:val="26"/>
          <w:szCs w:val="26"/>
        </w:rPr>
        <w:t xml:space="preserve"> водохранилище: р</w:t>
      </w:r>
      <w:proofErr w:type="gramStart"/>
      <w:r w:rsidRPr="000A4945">
        <w:rPr>
          <w:b/>
          <w:sz w:val="26"/>
          <w:szCs w:val="26"/>
        </w:rPr>
        <w:t>.О</w:t>
      </w:r>
      <w:proofErr w:type="gramEnd"/>
      <w:r w:rsidRPr="000A4945">
        <w:rPr>
          <w:b/>
          <w:sz w:val="26"/>
          <w:szCs w:val="26"/>
        </w:rPr>
        <w:t>ка, р.Волга)(Схема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22));</w:t>
      </w:r>
    </w:p>
    <w:p w:rsidR="00E71A2D" w:rsidRPr="000A4945" w:rsidRDefault="00E71A2D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0A4945">
        <w:rPr>
          <w:b/>
          <w:sz w:val="26"/>
          <w:szCs w:val="26"/>
        </w:rPr>
        <w:t>санитарно-защитной зоны по фактору электромагнитного воздействия (Постановление городской Думы города Нижнего Новгорода от 17.03.2010 № 22 "О генеральном плане города Нижнего Новгорода");</w:t>
      </w:r>
    </w:p>
    <w:p w:rsidR="00E71A2D" w:rsidRPr="000A4945" w:rsidRDefault="00E71A2D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- </w:t>
      </w:r>
      <w:r w:rsidRPr="000A4945">
        <w:rPr>
          <w:b/>
          <w:sz w:val="26"/>
          <w:szCs w:val="26"/>
        </w:rPr>
        <w:t>(проектная) санитарно-защитной зоны для ООО "Нижегородский инновационный оптовый продовольственный центр" Объединенный рынок сельхозпродукции (Санитарно-эпидемиологическое заключение ФБУЗ «Центр гигиены и эпидемиологии в нижегородской области в Автозаводском, Ленинском районах г. Нижнего Новгорода, Богородском районе»);</w:t>
      </w:r>
      <w:proofErr w:type="gramEnd"/>
    </w:p>
    <w:p w:rsidR="00E71A2D" w:rsidRDefault="00E71A2D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- </w:t>
      </w:r>
      <w:r w:rsidRPr="000A4945">
        <w:rPr>
          <w:b/>
          <w:sz w:val="26"/>
          <w:szCs w:val="26"/>
        </w:rPr>
        <w:t>(орие</w:t>
      </w:r>
      <w:r>
        <w:rPr>
          <w:b/>
          <w:sz w:val="26"/>
          <w:szCs w:val="26"/>
        </w:rPr>
        <w:t>н</w:t>
      </w:r>
      <w:r w:rsidRPr="000A4945">
        <w:rPr>
          <w:b/>
          <w:sz w:val="26"/>
          <w:szCs w:val="26"/>
        </w:rPr>
        <w:t>тировочной) санитарно-защитной зоны для сельскохозяйственного производства (</w:t>
      </w:r>
      <w:proofErr w:type="spellStart"/>
      <w:r w:rsidRPr="000A4945">
        <w:rPr>
          <w:b/>
          <w:sz w:val="26"/>
          <w:szCs w:val="26"/>
        </w:rPr>
        <w:t>СанПиН</w:t>
      </w:r>
      <w:proofErr w:type="spellEnd"/>
      <w:r w:rsidRPr="000A4945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(утверждены постановлением Главного государственного санитарного врача РФ от 25.09.2007 № 74 "О введении в действие новой редакции санитарно-эпидемиологических правил и нормативов </w:t>
      </w:r>
      <w:proofErr w:type="spellStart"/>
      <w:r w:rsidRPr="000A4945">
        <w:rPr>
          <w:b/>
          <w:sz w:val="26"/>
          <w:szCs w:val="26"/>
        </w:rPr>
        <w:t>СанПиН</w:t>
      </w:r>
      <w:proofErr w:type="spellEnd"/>
      <w:r w:rsidRPr="000A4945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</w:t>
      </w:r>
      <w:r>
        <w:rPr>
          <w:b/>
          <w:sz w:val="26"/>
          <w:szCs w:val="26"/>
        </w:rPr>
        <w:t>, сооружений и иных объектов")).</w:t>
      </w:r>
      <w:proofErr w:type="gramEnd"/>
    </w:p>
    <w:p w:rsidR="003435C4" w:rsidRPr="007B0683" w:rsidRDefault="00E71A2D" w:rsidP="00E71A2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Условием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E71A2D" w:rsidRDefault="00E71A2D" w:rsidP="007B0683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63414F" w:rsidRDefault="0063414F" w:rsidP="007B0683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E71A2D" w:rsidRDefault="00E71A2D" w:rsidP="00E71A2D">
      <w:pPr>
        <w:pStyle w:val="a3"/>
        <w:rPr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22.09.2021 № 186 и постановлением</w:t>
      </w:r>
      <w:r w:rsidRPr="008C2487">
        <w:rPr>
          <w:sz w:val="26"/>
          <w:szCs w:val="26"/>
        </w:rPr>
        <w:t xml:space="preserve"> администрации города Нижнего Новгорода от </w:t>
      </w:r>
      <w:r>
        <w:rPr>
          <w:sz w:val="26"/>
          <w:szCs w:val="26"/>
        </w:rPr>
        <w:t>08.10.2021 № 4370.</w:t>
      </w:r>
    </w:p>
    <w:p w:rsidR="00E71A2D" w:rsidRDefault="00E71A2D" w:rsidP="00E71A2D">
      <w:pPr>
        <w:jc w:val="both"/>
        <w:rPr>
          <w:sz w:val="26"/>
          <w:szCs w:val="26"/>
        </w:rPr>
      </w:pPr>
      <w:r>
        <w:rPr>
          <w:sz w:val="26"/>
          <w:szCs w:val="26"/>
        </w:rPr>
        <w:t>Аукционы от 29.12.2021 № 10626 по продаже не состоялся в связи с отсутствием заявок, от 17.02.2022 № 5220764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E71A2D" w:rsidRDefault="003F16E6" w:rsidP="00CC5F7A">
      <w:pPr>
        <w:jc w:val="both"/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Продажа посредством публичного </w:t>
      </w:r>
      <w:r w:rsidR="0004117A" w:rsidRPr="00FE2A2E">
        <w:rPr>
          <w:color w:val="000000"/>
          <w:sz w:val="26"/>
          <w:szCs w:val="26"/>
          <w:lang w:bidi="ru-RU"/>
        </w:rPr>
        <w:t>предложения</w:t>
      </w:r>
      <w:r w:rsidR="0004117A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от 18.05.2022 № 5228561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E71A2D" w:rsidRDefault="00E71A2D" w:rsidP="00CC5F7A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7E5B64" w:rsidRPr="00FE2A2E" w:rsidRDefault="007E5B64" w:rsidP="007E5B64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лотам №№ 2</w:t>
      </w:r>
      <w:r w:rsidRPr="00345EA7">
        <w:rPr>
          <w:color w:val="000000"/>
          <w:sz w:val="26"/>
          <w:szCs w:val="26"/>
          <w:u w:val="single"/>
          <w:lang w:bidi="ru-RU"/>
        </w:rPr>
        <w:t>-</w:t>
      </w:r>
      <w:r>
        <w:rPr>
          <w:color w:val="000000"/>
          <w:sz w:val="26"/>
          <w:szCs w:val="26"/>
          <w:u w:val="single"/>
          <w:lang w:bidi="ru-RU"/>
        </w:rPr>
        <w:t>4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  <w:lang w:bidi="ru-RU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FE2A2E">
        <w:rPr>
          <w:color w:val="000000"/>
          <w:sz w:val="26"/>
          <w:szCs w:val="26"/>
          <w:lang w:bidi="ru-RU"/>
        </w:rPr>
        <w:t xml:space="preserve"> администрации города Нижнег</w:t>
      </w:r>
      <w:r>
        <w:rPr>
          <w:color w:val="000000"/>
          <w:sz w:val="26"/>
          <w:szCs w:val="26"/>
          <w:lang w:bidi="ru-RU"/>
        </w:rPr>
        <w:t>о Новгорода от 09.03.2021 № 901.</w:t>
      </w:r>
    </w:p>
    <w:p w:rsidR="007E5B64" w:rsidRDefault="007E5B64" w:rsidP="007E5B64">
      <w:pPr>
        <w:tabs>
          <w:tab w:val="num" w:pos="0"/>
        </w:tabs>
        <w:jc w:val="both"/>
        <w:rPr>
          <w:color w:val="000000"/>
          <w:sz w:val="26"/>
          <w:szCs w:val="26"/>
          <w:lang w:bidi="ru-RU"/>
        </w:rPr>
      </w:pPr>
      <w:r w:rsidRPr="00345EA7">
        <w:rPr>
          <w:color w:val="000000"/>
          <w:sz w:val="26"/>
          <w:szCs w:val="26"/>
          <w:lang w:bidi="ru-RU"/>
        </w:rPr>
        <w:t>Аукцион</w:t>
      </w:r>
      <w:r>
        <w:rPr>
          <w:color w:val="000000"/>
          <w:sz w:val="26"/>
          <w:szCs w:val="26"/>
          <w:lang w:bidi="ru-RU"/>
        </w:rPr>
        <w:t>ы</w:t>
      </w:r>
      <w:r w:rsidRPr="00345EA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21.12.2021 № 10643, от 09.02.2022 № 10792</w:t>
      </w:r>
      <w:r w:rsidRPr="00145A16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по продаже не состоялись</w:t>
      </w:r>
      <w:r w:rsidRPr="00345EA7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E71A2D" w:rsidRDefault="007E5B64" w:rsidP="007E5B64">
      <w:pPr>
        <w:jc w:val="both"/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Продажи</w:t>
      </w:r>
      <w:r w:rsidRPr="00FE2A2E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12.04.2022 № 5226574, от 31.05.2022 № 5231047 </w:t>
      </w:r>
      <w:r>
        <w:rPr>
          <w:sz w:val="26"/>
          <w:szCs w:val="26"/>
        </w:rPr>
        <w:t>не состоялись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3435C4" w:rsidRDefault="003435C4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7E5B64">
        <w:rPr>
          <w:rFonts w:eastAsia="Calibri"/>
          <w:sz w:val="26"/>
          <w:szCs w:val="26"/>
        </w:rPr>
        <w:t xml:space="preserve"> 26</w:t>
      </w:r>
      <w:r w:rsidR="00440308">
        <w:rPr>
          <w:rFonts w:eastAsia="Calibri"/>
          <w:sz w:val="26"/>
          <w:szCs w:val="26"/>
        </w:rPr>
        <w:t>.10</w:t>
      </w:r>
      <w:r w:rsidR="00CE40F6" w:rsidRPr="00327291">
        <w:rPr>
          <w:rFonts w:eastAsia="Calibri"/>
          <w:sz w:val="26"/>
          <w:szCs w:val="26"/>
        </w:rPr>
        <w:t>.202</w:t>
      </w:r>
      <w:r w:rsidR="00C3423B" w:rsidRPr="00327291">
        <w:rPr>
          <w:rFonts w:eastAsia="Calibri"/>
          <w:sz w:val="26"/>
          <w:szCs w:val="26"/>
        </w:rPr>
        <w:t>2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CC5F7A">
        <w:rPr>
          <w:rFonts w:eastAsia="Calibri"/>
          <w:sz w:val="26"/>
          <w:szCs w:val="26"/>
        </w:rPr>
        <w:t xml:space="preserve"> </w:t>
      </w:r>
      <w:r w:rsidR="007E5B64">
        <w:rPr>
          <w:rFonts w:eastAsia="Calibri"/>
          <w:sz w:val="26"/>
          <w:szCs w:val="26"/>
        </w:rPr>
        <w:t>22</w:t>
      </w:r>
      <w:r w:rsidR="00CC5F7A">
        <w:rPr>
          <w:rFonts w:eastAsia="Calibri"/>
          <w:sz w:val="26"/>
          <w:szCs w:val="26"/>
        </w:rPr>
        <w:t>.11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D523B3" w:rsidRPr="00327291">
        <w:rPr>
          <w:rFonts w:eastAsia="Calibri"/>
          <w:sz w:val="26"/>
          <w:szCs w:val="26"/>
        </w:rPr>
        <w:t>2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CC5F7A">
        <w:rPr>
          <w:sz w:val="26"/>
          <w:szCs w:val="26"/>
        </w:rPr>
        <w:t xml:space="preserve"> </w:t>
      </w:r>
      <w:r w:rsidR="007E5B64">
        <w:rPr>
          <w:sz w:val="26"/>
          <w:szCs w:val="26"/>
        </w:rPr>
        <w:t>22</w:t>
      </w:r>
      <w:r w:rsidR="00CC5F7A">
        <w:rPr>
          <w:sz w:val="26"/>
          <w:szCs w:val="26"/>
        </w:rPr>
        <w:t>.11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D523B3" w:rsidRPr="00327291">
        <w:rPr>
          <w:rFonts w:eastAsia="Calibri"/>
          <w:sz w:val="26"/>
          <w:szCs w:val="26"/>
        </w:rPr>
        <w:t>2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CC5F7A">
        <w:rPr>
          <w:rFonts w:eastAsia="Calibri"/>
          <w:sz w:val="26"/>
          <w:szCs w:val="26"/>
        </w:rPr>
        <w:t xml:space="preserve"> </w:t>
      </w:r>
      <w:r w:rsidR="007E5B64">
        <w:rPr>
          <w:rFonts w:eastAsia="Calibri"/>
          <w:sz w:val="26"/>
          <w:szCs w:val="26"/>
        </w:rPr>
        <w:t>28</w:t>
      </w:r>
      <w:r w:rsidR="00CC5F7A">
        <w:rPr>
          <w:rFonts w:eastAsia="Calibri"/>
          <w:sz w:val="26"/>
          <w:szCs w:val="26"/>
        </w:rPr>
        <w:t>.11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CC5F7A">
        <w:rPr>
          <w:b/>
          <w:sz w:val="26"/>
          <w:szCs w:val="26"/>
          <w:u w:val="single"/>
        </w:rPr>
        <w:t xml:space="preserve"> </w:t>
      </w:r>
      <w:r w:rsidR="007E5B64">
        <w:rPr>
          <w:b/>
          <w:sz w:val="26"/>
          <w:szCs w:val="26"/>
          <w:u w:val="single"/>
        </w:rPr>
        <w:t>29</w:t>
      </w:r>
      <w:r w:rsidR="00CC5F7A">
        <w:rPr>
          <w:b/>
          <w:sz w:val="26"/>
          <w:szCs w:val="26"/>
          <w:u w:val="single"/>
        </w:rPr>
        <w:t>.11</w:t>
      </w:r>
      <w:r w:rsidR="00190B18" w:rsidRPr="002D0C4A">
        <w:rPr>
          <w:b/>
          <w:sz w:val="26"/>
          <w:szCs w:val="26"/>
          <w:u w:val="single"/>
        </w:rPr>
        <w:t>.</w:t>
      </w:r>
      <w:r w:rsidR="00CE40F6" w:rsidRPr="002D0C4A">
        <w:rPr>
          <w:b/>
          <w:sz w:val="26"/>
          <w:szCs w:val="26"/>
          <w:u w:val="single"/>
        </w:rPr>
        <w:t>2022</w:t>
      </w:r>
      <w:r w:rsidR="00935A97" w:rsidRPr="002D0C4A">
        <w:rPr>
          <w:b/>
          <w:sz w:val="26"/>
          <w:szCs w:val="26"/>
          <w:u w:val="single"/>
        </w:rPr>
        <w:t xml:space="preserve"> в </w:t>
      </w:r>
      <w:r w:rsidR="00CE40F6" w:rsidRPr="002D0C4A">
        <w:rPr>
          <w:b/>
          <w:sz w:val="26"/>
          <w:szCs w:val="26"/>
          <w:u w:val="single"/>
        </w:rPr>
        <w:t>09</w:t>
      </w:r>
      <w:r w:rsidRPr="002D0C4A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B12852" w:rsidRDefault="00B12852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B12852" w:rsidRDefault="00B12852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C77A0C" w:rsidRPr="00FE2A2E" w:rsidRDefault="00C77A0C" w:rsidP="00C77A0C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lastRenderedPageBreak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C77A0C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C77A0C" w:rsidRPr="00FE2A2E" w:rsidRDefault="00C77A0C" w:rsidP="00C77A0C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C77A0C" w:rsidRPr="00FE2A2E" w:rsidRDefault="00C77A0C" w:rsidP="00C77A0C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C77A0C" w:rsidRPr="00FE2A2E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C77A0C" w:rsidRDefault="00C77A0C" w:rsidP="00C77A0C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</w:t>
      </w:r>
      <w:r>
        <w:rPr>
          <w:color w:val="000000"/>
          <w:sz w:val="26"/>
          <w:szCs w:val="26"/>
        </w:rPr>
        <w:t xml:space="preserve">оизводится победителем аукциона либо лицом, признанным единственным участником аукциона, </w:t>
      </w:r>
      <w:r w:rsidRPr="00FE2A2E">
        <w:rPr>
          <w:color w:val="000000"/>
          <w:sz w:val="26"/>
          <w:szCs w:val="26"/>
        </w:rPr>
        <w:t>единовременно в соответствии с договором купли-</w:t>
      </w:r>
      <w:r>
        <w:rPr>
          <w:rFonts w:eastAsia="Calibri"/>
          <w:color w:val="000000"/>
          <w:sz w:val="26"/>
          <w:szCs w:val="26"/>
        </w:rPr>
        <w:t>продажи в течение 15 (пятнадцат</w:t>
      </w:r>
      <w:r w:rsidRPr="00FE2A2E">
        <w:rPr>
          <w:rFonts w:eastAsia="Calibri"/>
          <w:color w:val="000000"/>
          <w:sz w:val="26"/>
          <w:szCs w:val="26"/>
        </w:rPr>
        <w:t>и) календарных дней со</w:t>
      </w:r>
      <w:r>
        <w:rPr>
          <w:rFonts w:eastAsia="Calibri"/>
          <w:color w:val="000000"/>
          <w:sz w:val="26"/>
          <w:szCs w:val="26"/>
        </w:rPr>
        <w:t xml:space="preserve"> дня его заключения.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</w:p>
    <w:p w:rsidR="00C77A0C" w:rsidRPr="00FE2A2E" w:rsidRDefault="00C77A0C" w:rsidP="00C77A0C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C77A0C" w:rsidRPr="00FE2A2E" w:rsidRDefault="00C77A0C" w:rsidP="00C77A0C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</w:t>
      </w:r>
      <w:r w:rsidRPr="00FE2A2E">
        <w:rPr>
          <w:b/>
          <w:sz w:val="26"/>
          <w:szCs w:val="26"/>
        </w:rPr>
        <w:lastRenderedPageBreak/>
        <w:t>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C77A0C" w:rsidRPr="00FE2A2E" w:rsidRDefault="00C77A0C" w:rsidP="00C77A0C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C77A0C" w:rsidRPr="00FE2A2E" w:rsidRDefault="00C77A0C" w:rsidP="00C77A0C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5 (пяти) рабочих дней со дня подведения итогов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C77A0C" w:rsidRPr="00FE2A2E" w:rsidRDefault="00C77A0C" w:rsidP="00C77A0C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C77A0C" w:rsidRPr="00FE2A2E" w:rsidRDefault="00C77A0C" w:rsidP="00C77A0C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C77A0C" w:rsidRPr="00FE2A2E" w:rsidRDefault="00C77A0C" w:rsidP="00C77A0C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C77A0C" w:rsidRPr="00FE2A2E" w:rsidRDefault="00C77A0C" w:rsidP="00C77A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указанием предмета запроса, но без указания лица, от которого поступил запрос.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C77A0C" w:rsidRPr="00FE2A2E" w:rsidRDefault="00C77A0C" w:rsidP="00C77A0C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C77A0C" w:rsidRPr="00FE2A2E" w:rsidRDefault="00C77A0C" w:rsidP="00C77A0C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C77A0C" w:rsidRPr="00FE2A2E" w:rsidRDefault="00C77A0C" w:rsidP="00C77A0C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Порядок проведения аукциона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Процедура аукциона считается завершенной с момента подписания Продавцом протокола об итогах аукциона.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C77A0C" w:rsidRPr="0090327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C77A0C" w:rsidRPr="00B35CC7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C77A0C" w:rsidRPr="00903F5B" w:rsidRDefault="00C77A0C" w:rsidP="00C77A0C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C77A0C" w:rsidRPr="006E2684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77A0C" w:rsidRPr="00FE2A2E" w:rsidRDefault="00C77A0C" w:rsidP="00C77A0C">
      <w:pPr>
        <w:jc w:val="both"/>
      </w:pPr>
      <w:r w:rsidRPr="00FE2A2E">
        <w:t>Продавец: Комитет по управлению</w:t>
      </w:r>
    </w:p>
    <w:p w:rsidR="00C77A0C" w:rsidRPr="00FE2A2E" w:rsidRDefault="00C77A0C" w:rsidP="00C77A0C">
      <w:pPr>
        <w:jc w:val="both"/>
      </w:pPr>
      <w:r w:rsidRPr="00FE2A2E">
        <w:t xml:space="preserve">городским имуществом и земельными ресурсами </w:t>
      </w:r>
    </w:p>
    <w:p w:rsidR="00C77A0C" w:rsidRPr="00FE2A2E" w:rsidRDefault="00C77A0C" w:rsidP="00C77A0C">
      <w:pPr>
        <w:jc w:val="both"/>
      </w:pPr>
      <w:r w:rsidRPr="00FE2A2E">
        <w:t>администрации города Нижнего Новгорода</w:t>
      </w:r>
    </w:p>
    <w:p w:rsidR="00C77A0C" w:rsidRPr="00FE2A2E" w:rsidRDefault="00C77A0C" w:rsidP="00C77A0C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C77A0C" w:rsidRPr="00FE2A2E" w:rsidRDefault="00C77A0C" w:rsidP="00C77A0C">
      <w:pPr>
        <w:jc w:val="center"/>
        <w:rPr>
          <w:b/>
        </w:rPr>
      </w:pPr>
    </w:p>
    <w:p w:rsidR="00C77A0C" w:rsidRDefault="00C77A0C" w:rsidP="00C77A0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</w:p>
    <w:p w:rsidR="00C77A0C" w:rsidRPr="00FE2A2E" w:rsidRDefault="00C77A0C" w:rsidP="00C77A0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«____»______________2022г. </w:t>
      </w:r>
    </w:p>
    <w:p w:rsidR="00C77A0C" w:rsidRDefault="00C77A0C" w:rsidP="00C77A0C">
      <w:pPr>
        <w:jc w:val="center"/>
      </w:pP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C77A0C" w:rsidRPr="00FE2A2E" w:rsidRDefault="00C77A0C" w:rsidP="00C77A0C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 xml:space="preserve"> (наименование документа, серия, дата и место выдачи)</w:t>
      </w:r>
    </w:p>
    <w:p w:rsidR="00C77A0C" w:rsidRPr="00FE2A2E" w:rsidRDefault="00C77A0C" w:rsidP="00C77A0C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C77A0C" w:rsidRPr="00FE2A2E" w:rsidRDefault="00C77A0C" w:rsidP="00C77A0C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C77A0C" w:rsidRPr="00FE2A2E" w:rsidRDefault="00C77A0C" w:rsidP="00C77A0C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в лице Представителя претендента _____________________________________________________________________________________________________________________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C77A0C" w:rsidRPr="00001ED7" w:rsidRDefault="00C77A0C" w:rsidP="00C77A0C">
      <w:pPr>
        <w:jc w:val="center"/>
      </w:pPr>
      <w:r w:rsidRPr="00FE2A2E">
        <w:t>(наименование документа, серия, номер, дата, кем выдан)</w:t>
      </w:r>
    </w:p>
    <w:p w:rsidR="00C77A0C" w:rsidRPr="00001ED7" w:rsidRDefault="00C77A0C" w:rsidP="00C77A0C">
      <w:pPr>
        <w:jc w:val="center"/>
        <w:rPr>
          <w:sz w:val="26"/>
          <w:szCs w:val="26"/>
        </w:rPr>
      </w:pPr>
    </w:p>
    <w:p w:rsidR="00C77A0C" w:rsidRPr="00FE2A2E" w:rsidRDefault="00C77A0C" w:rsidP="00C77A0C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C77A0C" w:rsidRPr="00FE2A2E" w:rsidRDefault="00C77A0C" w:rsidP="00C77A0C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C77A0C" w:rsidRPr="00E72847" w:rsidRDefault="00C77A0C" w:rsidP="00C77A0C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C77A0C" w:rsidRPr="00FE2A2E" w:rsidRDefault="00C77A0C" w:rsidP="00C77A0C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C77A0C" w:rsidRPr="00FE2A2E" w:rsidRDefault="00C77A0C" w:rsidP="00C77A0C">
      <w:pPr>
        <w:jc w:val="center"/>
      </w:pPr>
      <w:r>
        <w:lastRenderedPageBreak/>
        <w:t>«___»________________2022</w:t>
      </w:r>
      <w:r w:rsidRPr="00FE2A2E">
        <w:t xml:space="preserve"> года</w:t>
      </w:r>
    </w:p>
    <w:p w:rsidR="00C77A0C" w:rsidRPr="00FE2A2E" w:rsidRDefault="00C77A0C" w:rsidP="00C77A0C">
      <w:pPr>
        <w:jc w:val="center"/>
      </w:pPr>
      <w:r w:rsidRPr="00FE2A2E">
        <w:t>(дата заполнения заявки)</w:t>
      </w:r>
    </w:p>
    <w:p w:rsidR="00C77A0C" w:rsidRPr="00FE2A2E" w:rsidRDefault="00C77A0C" w:rsidP="00C77A0C">
      <w:pPr>
        <w:jc w:val="center"/>
      </w:pP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77A0C" w:rsidRPr="00FE2A2E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77A0C" w:rsidRPr="00FE2A2E" w:rsidRDefault="00C77A0C" w:rsidP="00C77A0C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77A0C" w:rsidRPr="00FE2A2E" w:rsidRDefault="00C77A0C" w:rsidP="00C77A0C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102432" w:rsidRPr="00102432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102432">
        <w:rPr>
          <w:spacing w:val="-3"/>
          <w:sz w:val="26"/>
          <w:szCs w:val="26"/>
        </w:rPr>
      </w:r>
      <w:r w:rsidR="00102432">
        <w:rPr>
          <w:spacing w:val="-3"/>
          <w:sz w:val="26"/>
          <w:szCs w:val="26"/>
        </w:rPr>
        <w:fldChar w:fldCharType="separate"/>
      </w:r>
      <w:r w:rsidR="00102432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77A0C" w:rsidRPr="00FE2A2E" w:rsidRDefault="00C77A0C" w:rsidP="00C77A0C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77A0C" w:rsidRPr="00FE2A2E" w:rsidRDefault="00C77A0C" w:rsidP="00C77A0C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77A0C" w:rsidRPr="00FE2A2E" w:rsidRDefault="00C77A0C" w:rsidP="00C77A0C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77A0C" w:rsidRPr="00FE2A2E" w:rsidRDefault="00C77A0C" w:rsidP="00C77A0C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77A0C" w:rsidRPr="00FE2A2E" w:rsidRDefault="00C77A0C" w:rsidP="00C77A0C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77A0C" w:rsidRPr="00FE2A2E" w:rsidRDefault="00C77A0C" w:rsidP="00C77A0C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77A0C" w:rsidRPr="00FE2A2E" w:rsidRDefault="00C77A0C" w:rsidP="00C77A0C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77A0C" w:rsidRPr="00FE2A2E" w:rsidRDefault="00C77A0C" w:rsidP="00C77A0C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77A0C" w:rsidRPr="00FE2A2E" w:rsidRDefault="00C77A0C" w:rsidP="00C77A0C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77A0C" w:rsidRPr="00FE2A2E" w:rsidRDefault="00C77A0C" w:rsidP="00C77A0C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</w:t>
      </w:r>
      <w:r w:rsidRPr="00FE2A2E">
        <w:rPr>
          <w:sz w:val="26"/>
          <w:szCs w:val="26"/>
        </w:rPr>
        <w:lastRenderedPageBreak/>
        <w:t>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77A0C" w:rsidRPr="00FE2A2E" w:rsidRDefault="00C77A0C" w:rsidP="00C77A0C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77A0C" w:rsidRPr="00FE2A2E" w:rsidRDefault="00C77A0C" w:rsidP="00C77A0C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77A0C" w:rsidRPr="00FE2A2E" w:rsidRDefault="00C77A0C" w:rsidP="00C77A0C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77A0C" w:rsidRPr="00FE2A2E" w:rsidRDefault="00C77A0C" w:rsidP="00C77A0C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Ind w:w="34" w:type="dxa"/>
        <w:tblLayout w:type="fixed"/>
        <w:tblLook w:val="01E0"/>
      </w:tblPr>
      <w:tblGrid>
        <w:gridCol w:w="4746"/>
        <w:gridCol w:w="4927"/>
      </w:tblGrid>
      <w:tr w:rsidR="00C77A0C" w:rsidRPr="00FE2A2E" w:rsidTr="00B12852">
        <w:trPr>
          <w:trHeight w:val="118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77A0C" w:rsidRPr="00FE2A2E" w:rsidTr="00B12852">
        <w:trPr>
          <w:trHeight w:val="34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77A0C" w:rsidRPr="00FE2A2E" w:rsidTr="00B12852">
        <w:trPr>
          <w:trHeight w:val="106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77A0C" w:rsidRPr="00FE2A2E" w:rsidTr="00B12852">
        <w:trPr>
          <w:trHeight w:val="149"/>
          <w:jc w:val="center"/>
        </w:trPr>
        <w:tc>
          <w:tcPr>
            <w:tcW w:w="4746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112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77A0C" w:rsidRPr="00FE2A2E" w:rsidTr="00B12852">
        <w:trPr>
          <w:trHeight w:val="75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77A0C" w:rsidRPr="00FE2A2E" w:rsidTr="00B12852">
        <w:trPr>
          <w:trHeight w:val="39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77A0C" w:rsidRPr="00FE2A2E" w:rsidTr="00B12852">
        <w:trPr>
          <w:trHeight w:val="6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77A0C" w:rsidRPr="00C53FD3" w:rsidTr="00B12852">
        <w:trPr>
          <w:trHeight w:val="389"/>
          <w:jc w:val="center"/>
        </w:trPr>
        <w:tc>
          <w:tcPr>
            <w:tcW w:w="4746" w:type="dxa"/>
          </w:tcPr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77A0C" w:rsidRPr="00FE2A2E" w:rsidRDefault="00C77A0C" w:rsidP="0079122B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77A0C" w:rsidRPr="00FE2A2E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77A0C" w:rsidRPr="00C53FD3" w:rsidRDefault="00C77A0C" w:rsidP="0079122B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Default="00DB0B9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C77A0C" w:rsidRDefault="00C77A0C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sectPr w:rsidR="00C77A0C" w:rsidSect="00B12852">
      <w:headerReference w:type="default" r:id="rId12"/>
      <w:pgSz w:w="16840" w:h="11907" w:orient="landscape" w:code="9"/>
      <w:pgMar w:top="567" w:right="538" w:bottom="709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B64" w:rsidRDefault="007E5B64" w:rsidP="00D42863">
      <w:r>
        <w:separator/>
      </w:r>
    </w:p>
  </w:endnote>
  <w:endnote w:type="continuationSeparator" w:id="0">
    <w:p w:rsidR="007E5B64" w:rsidRDefault="007E5B64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B64" w:rsidRDefault="007E5B64" w:rsidP="00D42863">
      <w:r>
        <w:separator/>
      </w:r>
    </w:p>
  </w:footnote>
  <w:footnote w:type="continuationSeparator" w:id="0">
    <w:p w:rsidR="007E5B64" w:rsidRDefault="007E5B64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64" w:rsidRDefault="00102432">
    <w:pPr>
      <w:pStyle w:val="ab"/>
      <w:jc w:val="center"/>
    </w:pPr>
    <w:fldSimple w:instr=" PAGE   \* MERGEFORMAT ">
      <w:r w:rsidR="00791A10">
        <w:rPr>
          <w:noProof/>
        </w:rPr>
        <w:t>2</w:t>
      </w:r>
    </w:fldSimple>
  </w:p>
  <w:p w:rsidR="007E5B64" w:rsidRDefault="007E5B6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09633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32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1B30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1EFD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5CB7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2CB5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31AB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10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F73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4721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E1B"/>
    <w:rsid w:val="00CD23C7"/>
    <w:rsid w:val="00CD28B4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DA0"/>
    <w:rsid w:val="00E05394"/>
    <w:rsid w:val="00E0688F"/>
    <w:rsid w:val="00E107C7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2431"/>
    <w:rsid w:val="00F3303C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24E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0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0FFD4-77D3-4CF8-9D60-5DAB17E3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6123</Words>
  <Characters>45605</Characters>
  <Application>Microsoft Office Word</Application>
  <DocSecurity>0</DocSecurity>
  <Lines>380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51625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6</cp:revision>
  <cp:lastPrinted>2022-10-24T08:13:00Z</cp:lastPrinted>
  <dcterms:created xsi:type="dcterms:W3CDTF">2022-10-24T07:59:00Z</dcterms:created>
  <dcterms:modified xsi:type="dcterms:W3CDTF">2022-10-25T08:23:00Z</dcterms:modified>
</cp:coreProperties>
</file>