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8C719D">
        <w:rPr>
          <w:b/>
          <w:color w:val="000000"/>
          <w:sz w:val="26"/>
          <w:szCs w:val="26"/>
        </w:rPr>
        <w:t>13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A1531" w:rsidRPr="00F744EB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8C719D" w:rsidRPr="008C719D">
        <w:rPr>
          <w:b/>
          <w:sz w:val="30"/>
          <w:szCs w:val="30"/>
          <w:u w:val="single"/>
        </w:rPr>
        <w:t>14</w:t>
      </w:r>
      <w:r w:rsidR="007B0683">
        <w:rPr>
          <w:b/>
          <w:sz w:val="30"/>
          <w:szCs w:val="30"/>
          <w:u w:val="single"/>
        </w:rPr>
        <w:t>»</w:t>
      </w:r>
      <w:r w:rsidR="008C719D">
        <w:rPr>
          <w:b/>
          <w:sz w:val="30"/>
          <w:szCs w:val="30"/>
          <w:u w:val="single"/>
        </w:rPr>
        <w:t xml:space="preserve"> марта</w:t>
      </w:r>
      <w:r w:rsidR="00713435" w:rsidRPr="00327291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8C719D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32"/>
        <w:gridCol w:w="1691"/>
        <w:gridCol w:w="9"/>
        <w:gridCol w:w="1835"/>
        <w:gridCol w:w="8"/>
        <w:gridCol w:w="1413"/>
        <w:gridCol w:w="992"/>
        <w:gridCol w:w="1218"/>
        <w:gridCol w:w="2977"/>
        <w:gridCol w:w="1701"/>
        <w:gridCol w:w="1418"/>
        <w:gridCol w:w="1333"/>
      </w:tblGrid>
      <w:tr w:rsidR="00876730" w:rsidRPr="0089085A" w:rsidTr="00876730">
        <w:trPr>
          <w:trHeight w:hRule="exact" w:val="2524"/>
          <w:jc w:val="center"/>
        </w:trPr>
        <w:tc>
          <w:tcPr>
            <w:tcW w:w="546" w:type="dxa"/>
            <w:gridSpan w:val="2"/>
            <w:shd w:val="clear" w:color="auto" w:fill="FFFFFF"/>
            <w:vAlign w:val="center"/>
          </w:tcPr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  <w:lang w:val="en-US" w:eastAsia="en-US" w:bidi="en-US"/>
              </w:rPr>
              <w:t>№</w:t>
            </w:r>
          </w:p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лот</w:t>
            </w:r>
          </w:p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Наименование</w:t>
            </w:r>
          </w:p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844" w:type="dxa"/>
            <w:gridSpan w:val="2"/>
            <w:shd w:val="clear" w:color="auto" w:fill="FFFFFF"/>
            <w:vAlign w:val="center"/>
          </w:tcPr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421" w:type="dxa"/>
            <w:gridSpan w:val="2"/>
            <w:shd w:val="clear" w:color="auto" w:fill="FFFFFF"/>
            <w:vAlign w:val="center"/>
          </w:tcPr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Общая</w:t>
            </w:r>
          </w:p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площадь</w:t>
            </w:r>
          </w:p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объекта</w:t>
            </w:r>
          </w:p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89085A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18" w:type="dxa"/>
            <w:shd w:val="clear" w:color="auto" w:fill="FFFFFF"/>
            <w:vAlign w:val="center"/>
          </w:tcPr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Начальная</w:t>
            </w:r>
          </w:p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цена</w:t>
            </w:r>
          </w:p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объекта</w:t>
            </w:r>
          </w:p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11pt"/>
              </w:rPr>
              <w:t>(руб.)</w:t>
            </w:r>
          </w:p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Задаток</w:t>
            </w:r>
          </w:p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11pt"/>
              </w:rPr>
              <w:t>(руб.)</w:t>
            </w:r>
          </w:p>
          <w:p w:rsidR="00876730" w:rsidRPr="0089085A" w:rsidRDefault="00631995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(</w:t>
            </w:r>
            <w:r w:rsidRPr="00797CEB">
              <w:rPr>
                <w:rStyle w:val="Bodytext2"/>
                <w:sz w:val="22"/>
                <w:szCs w:val="22"/>
              </w:rPr>
              <w:t>1</w:t>
            </w:r>
            <w:r w:rsidR="00876730" w:rsidRPr="0089085A">
              <w:rPr>
                <w:rStyle w:val="Bodytext2"/>
                <w:sz w:val="22"/>
                <w:szCs w:val="22"/>
              </w:rPr>
              <w:t>0% от начальной цены объекта)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Шаг</w:t>
            </w:r>
          </w:p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аукциона</w:t>
            </w:r>
          </w:p>
          <w:p w:rsidR="00876730" w:rsidRPr="0089085A" w:rsidRDefault="00876730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11pt"/>
              </w:rPr>
              <w:t>(руб.)</w:t>
            </w:r>
          </w:p>
        </w:tc>
      </w:tr>
      <w:tr w:rsidR="00876730" w:rsidRPr="003502D2" w:rsidTr="00876730">
        <w:trPr>
          <w:trHeight w:hRule="exact" w:val="3932"/>
          <w:jc w:val="center"/>
        </w:trPr>
        <w:tc>
          <w:tcPr>
            <w:tcW w:w="514" w:type="dxa"/>
            <w:vMerge w:val="restart"/>
            <w:shd w:val="clear" w:color="auto" w:fill="FFFFFF"/>
            <w:vAlign w:val="center"/>
          </w:tcPr>
          <w:p w:rsidR="00876730" w:rsidRPr="00876730" w:rsidRDefault="00876730" w:rsidP="00876730">
            <w:pPr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876730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732" w:type="dxa"/>
            <w:gridSpan w:val="3"/>
            <w:shd w:val="clear" w:color="auto" w:fill="FFFFFF"/>
            <w:vAlign w:val="center"/>
          </w:tcPr>
          <w:p w:rsidR="00876730" w:rsidRPr="00876730" w:rsidRDefault="00876730" w:rsidP="00876730">
            <w:pPr>
              <w:ind w:left="57" w:right="57"/>
              <w:jc w:val="center"/>
              <w:rPr>
                <w:rStyle w:val="Bodytext2"/>
                <w:sz w:val="22"/>
                <w:szCs w:val="22"/>
              </w:rPr>
            </w:pPr>
            <w:r w:rsidRPr="00876730">
              <w:rPr>
                <w:rStyle w:val="Bodytext2"/>
                <w:sz w:val="22"/>
                <w:szCs w:val="22"/>
              </w:rPr>
              <w:t>Нежилое помещение (этаж №1)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876730" w:rsidRPr="00876730" w:rsidRDefault="00876730" w:rsidP="00876730">
            <w:pPr>
              <w:ind w:left="57" w:right="57"/>
              <w:jc w:val="center"/>
              <w:rPr>
                <w:sz w:val="22"/>
                <w:szCs w:val="22"/>
              </w:rPr>
            </w:pPr>
            <w:r w:rsidRPr="00876730">
              <w:rPr>
                <w:sz w:val="22"/>
                <w:szCs w:val="22"/>
              </w:rPr>
              <w:t>г</w:t>
            </w:r>
            <w:proofErr w:type="gramStart"/>
            <w:r w:rsidRPr="00876730">
              <w:rPr>
                <w:sz w:val="22"/>
                <w:szCs w:val="22"/>
              </w:rPr>
              <w:t>.Н</w:t>
            </w:r>
            <w:proofErr w:type="gramEnd"/>
            <w:r w:rsidRPr="00876730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876730">
              <w:rPr>
                <w:sz w:val="22"/>
                <w:szCs w:val="22"/>
              </w:rPr>
              <w:t>Приокский</w:t>
            </w:r>
            <w:proofErr w:type="spellEnd"/>
            <w:r w:rsidRPr="00876730">
              <w:rPr>
                <w:sz w:val="22"/>
                <w:szCs w:val="22"/>
              </w:rPr>
              <w:t xml:space="preserve"> район, ул.Батумская, д.9Б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876730" w:rsidRPr="00876730" w:rsidRDefault="00876730" w:rsidP="00876730">
            <w:pPr>
              <w:ind w:left="57" w:right="57"/>
              <w:jc w:val="center"/>
              <w:rPr>
                <w:sz w:val="22"/>
                <w:szCs w:val="22"/>
              </w:rPr>
            </w:pPr>
            <w:r w:rsidRPr="00876730">
              <w:rPr>
                <w:sz w:val="22"/>
                <w:szCs w:val="22"/>
              </w:rPr>
              <w:t>52:18:0080022:195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6730" w:rsidRPr="00876730" w:rsidRDefault="00876730" w:rsidP="00876730">
            <w:pPr>
              <w:ind w:left="57" w:right="57"/>
              <w:jc w:val="center"/>
              <w:rPr>
                <w:sz w:val="22"/>
                <w:szCs w:val="22"/>
              </w:rPr>
            </w:pPr>
            <w:r w:rsidRPr="00876730">
              <w:rPr>
                <w:sz w:val="22"/>
                <w:szCs w:val="22"/>
                <w:lang w:val="en-US"/>
              </w:rPr>
              <w:t>8</w:t>
            </w:r>
            <w:r w:rsidRPr="00876730">
              <w:rPr>
                <w:sz w:val="22"/>
                <w:szCs w:val="22"/>
              </w:rPr>
              <w:t>,</w:t>
            </w:r>
            <w:r w:rsidRPr="0087673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876730" w:rsidRPr="00876730" w:rsidRDefault="00876730" w:rsidP="00876730">
            <w:pPr>
              <w:ind w:left="57" w:right="57"/>
              <w:jc w:val="center"/>
              <w:rPr>
                <w:sz w:val="22"/>
                <w:szCs w:val="22"/>
              </w:rPr>
            </w:pPr>
            <w:r w:rsidRPr="00876730">
              <w:rPr>
                <w:sz w:val="22"/>
                <w:szCs w:val="22"/>
              </w:rPr>
              <w:t>1955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76730" w:rsidRPr="00876730" w:rsidRDefault="00876730" w:rsidP="00876730">
            <w:pPr>
              <w:ind w:left="57" w:right="57"/>
              <w:jc w:val="center"/>
              <w:rPr>
                <w:sz w:val="22"/>
                <w:szCs w:val="22"/>
              </w:rPr>
            </w:pPr>
            <w:r w:rsidRPr="00876730">
              <w:rPr>
                <w:sz w:val="22"/>
                <w:szCs w:val="22"/>
              </w:rPr>
              <w:t>Нежилое помещение расположено на первом этаже двухэтажного жилого дома. Вход совместный с пользователями других жилых помещений через подъезд.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76730" w:rsidRPr="00876730" w:rsidRDefault="00876730" w:rsidP="008767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76730">
              <w:rPr>
                <w:b/>
                <w:sz w:val="22"/>
                <w:szCs w:val="22"/>
              </w:rPr>
              <w:t>991 000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876730" w:rsidRPr="00876730" w:rsidRDefault="00631995" w:rsidP="008767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99</w:t>
            </w:r>
            <w:r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  <w:r w:rsidR="00876730" w:rsidRPr="0087673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33" w:type="dxa"/>
            <w:vMerge w:val="restart"/>
            <w:shd w:val="clear" w:color="auto" w:fill="FFFFFF"/>
            <w:vAlign w:val="center"/>
          </w:tcPr>
          <w:p w:rsidR="00876730" w:rsidRPr="00876730" w:rsidRDefault="00876730" w:rsidP="008767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  <w:p w:rsidR="00876730" w:rsidRPr="00876730" w:rsidRDefault="00876730" w:rsidP="008767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76730">
              <w:rPr>
                <w:b/>
                <w:sz w:val="22"/>
                <w:szCs w:val="22"/>
              </w:rPr>
              <w:t>49 550</w:t>
            </w:r>
          </w:p>
          <w:p w:rsidR="00876730" w:rsidRPr="00876730" w:rsidRDefault="00876730" w:rsidP="008767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</w:tr>
      <w:tr w:rsidR="00876730" w:rsidRPr="003502D2" w:rsidTr="00876730">
        <w:trPr>
          <w:trHeight w:hRule="exact" w:val="3932"/>
          <w:jc w:val="center"/>
        </w:trPr>
        <w:tc>
          <w:tcPr>
            <w:tcW w:w="514" w:type="dxa"/>
            <w:vMerge/>
            <w:shd w:val="clear" w:color="auto" w:fill="FFFFFF"/>
            <w:vAlign w:val="center"/>
          </w:tcPr>
          <w:p w:rsidR="00876730" w:rsidRDefault="00876730" w:rsidP="0087673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shd w:val="clear" w:color="auto" w:fill="FFFFFF"/>
            <w:vAlign w:val="center"/>
          </w:tcPr>
          <w:p w:rsidR="00876730" w:rsidRPr="00876730" w:rsidRDefault="00876730" w:rsidP="00876730">
            <w:pPr>
              <w:ind w:left="57" w:right="57"/>
              <w:jc w:val="center"/>
              <w:rPr>
                <w:rStyle w:val="Bodytext2"/>
                <w:sz w:val="22"/>
                <w:szCs w:val="22"/>
              </w:rPr>
            </w:pPr>
            <w:r w:rsidRPr="00876730">
              <w:rPr>
                <w:rStyle w:val="Bodytext2"/>
                <w:sz w:val="22"/>
                <w:szCs w:val="22"/>
              </w:rPr>
              <w:t>Нежилое помещение (этаж №1)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876730" w:rsidRPr="00876730" w:rsidRDefault="00876730" w:rsidP="00876730">
            <w:pPr>
              <w:ind w:left="57" w:right="57"/>
              <w:jc w:val="center"/>
              <w:rPr>
                <w:sz w:val="22"/>
                <w:szCs w:val="22"/>
              </w:rPr>
            </w:pPr>
            <w:r w:rsidRPr="00876730">
              <w:rPr>
                <w:sz w:val="22"/>
                <w:szCs w:val="22"/>
              </w:rPr>
              <w:t>г</w:t>
            </w:r>
            <w:proofErr w:type="gramStart"/>
            <w:r w:rsidRPr="00876730">
              <w:rPr>
                <w:sz w:val="22"/>
                <w:szCs w:val="22"/>
              </w:rPr>
              <w:t>.Н</w:t>
            </w:r>
            <w:proofErr w:type="gramEnd"/>
            <w:r w:rsidRPr="00876730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876730">
              <w:rPr>
                <w:sz w:val="22"/>
                <w:szCs w:val="22"/>
              </w:rPr>
              <w:t>Приокский</w:t>
            </w:r>
            <w:proofErr w:type="spellEnd"/>
            <w:r w:rsidRPr="00876730">
              <w:rPr>
                <w:sz w:val="22"/>
                <w:szCs w:val="22"/>
              </w:rPr>
              <w:t xml:space="preserve"> район, ул.Батумская, д.9Б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876730" w:rsidRPr="00876730" w:rsidRDefault="00876730" w:rsidP="00876730">
            <w:pPr>
              <w:ind w:left="57" w:right="57"/>
              <w:jc w:val="center"/>
              <w:rPr>
                <w:sz w:val="22"/>
                <w:szCs w:val="22"/>
              </w:rPr>
            </w:pPr>
            <w:r w:rsidRPr="00876730">
              <w:rPr>
                <w:sz w:val="22"/>
                <w:szCs w:val="22"/>
              </w:rPr>
              <w:t>52:18:0080022:197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6730" w:rsidRPr="00876730" w:rsidRDefault="00876730" w:rsidP="00876730">
            <w:pPr>
              <w:ind w:left="57" w:right="57"/>
              <w:jc w:val="center"/>
              <w:rPr>
                <w:sz w:val="22"/>
                <w:szCs w:val="22"/>
              </w:rPr>
            </w:pPr>
            <w:r w:rsidRPr="00876730">
              <w:rPr>
                <w:sz w:val="22"/>
                <w:szCs w:val="22"/>
              </w:rPr>
              <w:t>9,2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876730" w:rsidRPr="00876730" w:rsidRDefault="00876730" w:rsidP="00876730">
            <w:pPr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876730">
              <w:rPr>
                <w:sz w:val="22"/>
                <w:szCs w:val="22"/>
                <w:lang w:val="en-US"/>
              </w:rPr>
              <w:t>1955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76730" w:rsidRPr="00876730" w:rsidRDefault="00876730" w:rsidP="00876730">
            <w:pPr>
              <w:ind w:left="57" w:right="57"/>
              <w:jc w:val="center"/>
              <w:rPr>
                <w:sz w:val="22"/>
                <w:szCs w:val="22"/>
              </w:rPr>
            </w:pPr>
            <w:r w:rsidRPr="00876730">
              <w:rPr>
                <w:sz w:val="22"/>
                <w:szCs w:val="22"/>
              </w:rPr>
              <w:t xml:space="preserve">Нежилое помещение расположено на первом этаже двухэтажного жилого дома. Доступ в помещение осуществляется через нежилое помещение </w:t>
            </w:r>
            <w:proofErr w:type="spellStart"/>
            <w:r w:rsidRPr="00876730">
              <w:rPr>
                <w:sz w:val="22"/>
                <w:szCs w:val="22"/>
              </w:rPr>
              <w:t>пом</w:t>
            </w:r>
            <w:proofErr w:type="spellEnd"/>
            <w:r w:rsidRPr="00876730">
              <w:rPr>
                <w:sz w:val="22"/>
                <w:szCs w:val="22"/>
              </w:rPr>
              <w:t xml:space="preserve"> П</w:t>
            </w:r>
            <w:proofErr w:type="gramStart"/>
            <w:r w:rsidRPr="00876730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76730" w:rsidRDefault="00876730" w:rsidP="00876730">
            <w:pPr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876730" w:rsidRDefault="00876730" w:rsidP="00876730">
            <w:pPr>
              <w:ind w:left="57" w:right="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</w:tcPr>
          <w:p w:rsidR="00876730" w:rsidRDefault="00876730" w:rsidP="00876730">
            <w:pPr>
              <w:ind w:left="57" w:right="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76730" w:rsidRPr="0089085A" w:rsidTr="00876730">
        <w:trPr>
          <w:trHeight w:hRule="exact" w:val="3541"/>
          <w:jc w:val="center"/>
        </w:trPr>
        <w:tc>
          <w:tcPr>
            <w:tcW w:w="546" w:type="dxa"/>
            <w:gridSpan w:val="2"/>
            <w:shd w:val="clear" w:color="auto" w:fill="FFFFFF"/>
            <w:vAlign w:val="center"/>
          </w:tcPr>
          <w:p w:rsidR="00876730" w:rsidRPr="0089085A" w:rsidRDefault="00876730" w:rsidP="003435C4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085A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876730" w:rsidRPr="00415E60" w:rsidRDefault="00876730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Нежилое помещение (этаж № 1)</w:t>
            </w:r>
          </w:p>
        </w:tc>
        <w:tc>
          <w:tcPr>
            <w:tcW w:w="1844" w:type="dxa"/>
            <w:gridSpan w:val="2"/>
            <w:shd w:val="clear" w:color="auto" w:fill="FFFFFF"/>
            <w:vAlign w:val="center"/>
          </w:tcPr>
          <w:p w:rsidR="00876730" w:rsidRPr="00415E60" w:rsidRDefault="00876730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 w:rsidRPr="00415E60"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ижний Новгород, Московский район, ул.50-летия Победы, д.34А, </w:t>
            </w:r>
            <w:proofErr w:type="spellStart"/>
            <w:r w:rsidRPr="00415E60">
              <w:rPr>
                <w:color w:val="000000"/>
                <w:sz w:val="22"/>
                <w:szCs w:val="22"/>
                <w:lang w:bidi="ru-RU"/>
              </w:rPr>
              <w:t>пом</w:t>
            </w:r>
            <w:proofErr w:type="spellEnd"/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 П1</w:t>
            </w:r>
          </w:p>
        </w:tc>
        <w:tc>
          <w:tcPr>
            <w:tcW w:w="1421" w:type="dxa"/>
            <w:gridSpan w:val="2"/>
            <w:shd w:val="clear" w:color="auto" w:fill="FFFFFF"/>
            <w:vAlign w:val="center"/>
          </w:tcPr>
          <w:p w:rsidR="00876730" w:rsidRPr="00415E60" w:rsidRDefault="00876730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52:18:0020074:577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6730" w:rsidRPr="00415E60" w:rsidRDefault="00876730" w:rsidP="007E5B64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152,8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876730" w:rsidRPr="00415E60" w:rsidRDefault="00876730" w:rsidP="007E5B64">
            <w:pPr>
              <w:ind w:left="57" w:right="57"/>
              <w:jc w:val="center"/>
              <w:rPr>
                <w:sz w:val="22"/>
                <w:szCs w:val="22"/>
              </w:rPr>
            </w:pPr>
            <w:r w:rsidRPr="00415E60">
              <w:rPr>
                <w:sz w:val="22"/>
                <w:szCs w:val="22"/>
              </w:rPr>
              <w:t>1984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76730" w:rsidRPr="00415E60" w:rsidRDefault="00876730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на первом этаже двухэ</w:t>
            </w:r>
            <w:r>
              <w:rPr>
                <w:color w:val="000000"/>
                <w:sz w:val="22"/>
                <w:szCs w:val="22"/>
                <w:lang w:bidi="ru-RU"/>
              </w:rPr>
              <w:t>тажного нежилого здания. Имеется</w:t>
            </w:r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3 </w:t>
            </w:r>
            <w:proofErr w:type="gramStart"/>
            <w:r>
              <w:rPr>
                <w:color w:val="000000"/>
                <w:sz w:val="22"/>
                <w:szCs w:val="22"/>
                <w:lang w:bidi="ru-RU"/>
              </w:rPr>
              <w:t>отдельных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входа</w:t>
            </w:r>
            <w:r w:rsidRPr="00415E60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730" w:rsidRPr="0089085A" w:rsidRDefault="00876730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4 487 740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6730" w:rsidRPr="00631995" w:rsidRDefault="00631995" w:rsidP="003435C4">
            <w:pPr>
              <w:ind w:left="57" w:right="57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448</w:t>
            </w:r>
            <w:r w:rsidR="0087673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774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876730" w:rsidRPr="0089085A" w:rsidRDefault="00876730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E5B64">
              <w:rPr>
                <w:b/>
                <w:sz w:val="22"/>
                <w:szCs w:val="22"/>
              </w:rPr>
              <w:t>224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E5B64">
              <w:rPr>
                <w:b/>
                <w:sz w:val="22"/>
                <w:szCs w:val="22"/>
              </w:rPr>
              <w:t>387</w:t>
            </w:r>
          </w:p>
        </w:tc>
      </w:tr>
      <w:tr w:rsidR="00876730" w:rsidRPr="0089085A" w:rsidTr="008C719D">
        <w:trPr>
          <w:trHeight w:hRule="exact" w:val="3372"/>
          <w:jc w:val="center"/>
        </w:trPr>
        <w:tc>
          <w:tcPr>
            <w:tcW w:w="546" w:type="dxa"/>
            <w:gridSpan w:val="2"/>
            <w:shd w:val="clear" w:color="auto" w:fill="FFFFFF"/>
            <w:vAlign w:val="center"/>
          </w:tcPr>
          <w:p w:rsidR="00876730" w:rsidRPr="0089085A" w:rsidRDefault="00876730" w:rsidP="003435C4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085A"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876730" w:rsidRPr="00415E60" w:rsidRDefault="00876730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Нежилое помещение (этаж № 1)</w:t>
            </w:r>
          </w:p>
        </w:tc>
        <w:tc>
          <w:tcPr>
            <w:tcW w:w="1844" w:type="dxa"/>
            <w:gridSpan w:val="2"/>
            <w:shd w:val="clear" w:color="auto" w:fill="FFFFFF"/>
            <w:vAlign w:val="center"/>
          </w:tcPr>
          <w:p w:rsidR="00876730" w:rsidRPr="00415E60" w:rsidRDefault="00876730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 w:rsidRPr="00415E60"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ижний Новгород, Московский район, ул.50-летия Победы, д.34А, </w:t>
            </w:r>
            <w:proofErr w:type="spellStart"/>
            <w:r w:rsidRPr="00415E60">
              <w:rPr>
                <w:color w:val="000000"/>
                <w:sz w:val="22"/>
                <w:szCs w:val="22"/>
                <w:lang w:bidi="ru-RU"/>
              </w:rPr>
              <w:t>пом</w:t>
            </w:r>
            <w:proofErr w:type="spellEnd"/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 П2</w:t>
            </w:r>
          </w:p>
        </w:tc>
        <w:tc>
          <w:tcPr>
            <w:tcW w:w="1421" w:type="dxa"/>
            <w:gridSpan w:val="2"/>
            <w:shd w:val="clear" w:color="auto" w:fill="FFFFFF"/>
            <w:vAlign w:val="center"/>
          </w:tcPr>
          <w:p w:rsidR="00876730" w:rsidRPr="00415E60" w:rsidRDefault="00876730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52:18:0020074:578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6730" w:rsidRPr="00415E60" w:rsidRDefault="00876730" w:rsidP="007E5B64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60,0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876730" w:rsidRPr="00415E60" w:rsidRDefault="00876730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sz w:val="22"/>
                <w:szCs w:val="22"/>
              </w:rPr>
              <w:t>1984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76730" w:rsidRPr="00415E60" w:rsidRDefault="00876730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на первом этаже двухэтажного нежилого здания. Имеется 1 отдельный вход.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730" w:rsidRPr="0089085A" w:rsidRDefault="00876730" w:rsidP="00EA4F53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2 124 600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6730" w:rsidRPr="00631995" w:rsidRDefault="00631995" w:rsidP="003435C4">
            <w:pPr>
              <w:ind w:left="57" w:right="57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212</w:t>
            </w:r>
            <w:r w:rsidR="0087673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460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876730" w:rsidRPr="0089085A" w:rsidRDefault="00876730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A4F53">
              <w:rPr>
                <w:b/>
                <w:sz w:val="22"/>
                <w:szCs w:val="22"/>
              </w:rPr>
              <w:t>106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4F53">
              <w:rPr>
                <w:b/>
                <w:sz w:val="22"/>
                <w:szCs w:val="22"/>
              </w:rPr>
              <w:t>230</w:t>
            </w:r>
          </w:p>
        </w:tc>
      </w:tr>
      <w:tr w:rsidR="00876730" w:rsidRPr="0089085A" w:rsidTr="008C719D">
        <w:trPr>
          <w:trHeight w:hRule="exact" w:val="3379"/>
          <w:jc w:val="center"/>
        </w:trPr>
        <w:tc>
          <w:tcPr>
            <w:tcW w:w="546" w:type="dxa"/>
            <w:gridSpan w:val="2"/>
            <w:shd w:val="clear" w:color="auto" w:fill="FFFFFF"/>
            <w:vAlign w:val="center"/>
          </w:tcPr>
          <w:p w:rsidR="00876730" w:rsidRPr="0089085A" w:rsidRDefault="00876730" w:rsidP="003435C4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876730" w:rsidRPr="00415E60" w:rsidRDefault="00876730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Нежилое помещение (этажи №№ 1, 2)</w:t>
            </w:r>
          </w:p>
        </w:tc>
        <w:tc>
          <w:tcPr>
            <w:tcW w:w="1844" w:type="dxa"/>
            <w:gridSpan w:val="2"/>
            <w:shd w:val="clear" w:color="auto" w:fill="FFFFFF"/>
            <w:vAlign w:val="center"/>
          </w:tcPr>
          <w:p w:rsidR="00876730" w:rsidRPr="00415E60" w:rsidRDefault="00876730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 w:rsidRPr="00415E60"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ижний Новгород, Московский район, ул.50-летия Победы, д.34А, </w:t>
            </w:r>
            <w:proofErr w:type="spellStart"/>
            <w:r w:rsidRPr="00415E60">
              <w:rPr>
                <w:color w:val="000000"/>
                <w:sz w:val="22"/>
                <w:szCs w:val="22"/>
                <w:lang w:bidi="ru-RU"/>
              </w:rPr>
              <w:t>пом</w:t>
            </w:r>
            <w:proofErr w:type="spellEnd"/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 П3</w:t>
            </w:r>
          </w:p>
        </w:tc>
        <w:tc>
          <w:tcPr>
            <w:tcW w:w="1421" w:type="dxa"/>
            <w:gridSpan w:val="2"/>
            <w:shd w:val="clear" w:color="auto" w:fill="FFFFFF"/>
            <w:vAlign w:val="center"/>
          </w:tcPr>
          <w:p w:rsidR="00876730" w:rsidRPr="00415E60" w:rsidRDefault="00876730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52:18:0020074:579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6730" w:rsidRPr="00415E60" w:rsidRDefault="00876730" w:rsidP="007E5B64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237,8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876730" w:rsidRPr="00415E60" w:rsidRDefault="00876730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sz w:val="22"/>
                <w:szCs w:val="22"/>
              </w:rPr>
              <w:t>1984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76730" w:rsidRPr="00415E60" w:rsidRDefault="00876730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на первом и втором этажах двухэ</w:t>
            </w:r>
            <w:r>
              <w:rPr>
                <w:color w:val="000000"/>
                <w:sz w:val="22"/>
                <w:szCs w:val="22"/>
                <w:lang w:bidi="ru-RU"/>
              </w:rPr>
              <w:t>тажного нежилого здания. Имеется</w:t>
            </w:r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2 </w:t>
            </w:r>
            <w:proofErr w:type="gramStart"/>
            <w:r>
              <w:rPr>
                <w:color w:val="000000"/>
                <w:sz w:val="22"/>
                <w:szCs w:val="22"/>
                <w:lang w:bidi="ru-RU"/>
              </w:rPr>
              <w:t>отдельных</w:t>
            </w:r>
            <w:proofErr w:type="gramEnd"/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 вход</w:t>
            </w:r>
            <w:r>
              <w:rPr>
                <w:color w:val="000000"/>
                <w:sz w:val="22"/>
                <w:szCs w:val="22"/>
                <w:lang w:bidi="ru-RU"/>
              </w:rPr>
              <w:t>а: 1 – с фасада, 1 – по лестничному маршу с торца здания.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730" w:rsidRPr="0089085A" w:rsidRDefault="00876730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6 647 370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6730" w:rsidRPr="00631995" w:rsidRDefault="00631995" w:rsidP="003435C4">
            <w:pPr>
              <w:ind w:left="57" w:right="57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664</w:t>
            </w:r>
            <w:r w:rsidR="0087673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737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876730" w:rsidRPr="0089085A" w:rsidRDefault="00876730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A4F53">
              <w:rPr>
                <w:b/>
                <w:sz w:val="22"/>
                <w:szCs w:val="22"/>
              </w:rPr>
              <w:t>332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4F53">
              <w:rPr>
                <w:b/>
                <w:sz w:val="22"/>
                <w:szCs w:val="22"/>
              </w:rPr>
              <w:t>368,5</w:t>
            </w:r>
          </w:p>
        </w:tc>
      </w:tr>
    </w:tbl>
    <w:p w:rsidR="00E71A2D" w:rsidRPr="00F744EB" w:rsidRDefault="00E71A2D" w:rsidP="00FF25D6">
      <w:pPr>
        <w:pStyle w:val="a3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По лоту №</w:t>
      </w:r>
      <w:r w:rsidRPr="00515A6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1</w:t>
      </w:r>
      <w:r w:rsidRPr="008C2487">
        <w:rPr>
          <w:sz w:val="26"/>
          <w:szCs w:val="26"/>
        </w:rPr>
        <w:t xml:space="preserve"> </w:t>
      </w:r>
      <w:r w:rsidR="00FF25D6">
        <w:rPr>
          <w:sz w:val="26"/>
          <w:szCs w:val="26"/>
        </w:rPr>
        <w:t>р</w:t>
      </w:r>
      <w:r w:rsidR="00FF25D6" w:rsidRPr="008F29E9">
        <w:rPr>
          <w:sz w:val="26"/>
          <w:szCs w:val="26"/>
        </w:rPr>
        <w:t xml:space="preserve">ешение об условиях приватизации принято решением городской Думы города Нижнего Новгорода от </w:t>
      </w:r>
      <w:r w:rsidR="00FF25D6">
        <w:rPr>
          <w:sz w:val="26"/>
          <w:szCs w:val="26"/>
        </w:rPr>
        <w:t>22.06.2022 № 119 и постановлением</w:t>
      </w:r>
      <w:r w:rsidR="00FF25D6" w:rsidRPr="008F29E9">
        <w:rPr>
          <w:sz w:val="26"/>
          <w:szCs w:val="26"/>
        </w:rPr>
        <w:t xml:space="preserve"> администрации города Нижнего Новгорода от </w:t>
      </w:r>
      <w:r w:rsidR="00FF25D6">
        <w:rPr>
          <w:sz w:val="26"/>
          <w:szCs w:val="26"/>
        </w:rPr>
        <w:t>19.07.2022 № 3501.</w:t>
      </w:r>
    </w:p>
    <w:p w:rsidR="00F744EB" w:rsidRPr="00631995" w:rsidRDefault="00F744EB" w:rsidP="00FF25D6">
      <w:pPr>
        <w:pStyle w:val="a3"/>
        <w:rPr>
          <w:color w:val="000000"/>
          <w:sz w:val="26"/>
          <w:szCs w:val="26"/>
          <w:u w:val="single"/>
          <w:lang w:bidi="ru-RU"/>
        </w:rPr>
      </w:pPr>
      <w:r>
        <w:rPr>
          <w:sz w:val="26"/>
          <w:szCs w:val="26"/>
        </w:rPr>
        <w:t>Аукцион</w:t>
      </w:r>
      <w:r w:rsidR="00631995">
        <w:rPr>
          <w:sz w:val="26"/>
          <w:szCs w:val="26"/>
        </w:rPr>
        <w:t>ы</w:t>
      </w:r>
      <w:r>
        <w:rPr>
          <w:sz w:val="26"/>
          <w:szCs w:val="26"/>
        </w:rPr>
        <w:t xml:space="preserve"> от 10.11.2022 № 5251238</w:t>
      </w:r>
      <w:r w:rsidR="00631995">
        <w:rPr>
          <w:sz w:val="26"/>
          <w:szCs w:val="26"/>
        </w:rPr>
        <w:t>, от 17.01.2023 № 5260031 по продаже не состоялись</w:t>
      </w:r>
      <w:r>
        <w:rPr>
          <w:sz w:val="26"/>
          <w:szCs w:val="26"/>
        </w:rPr>
        <w:t xml:space="preserve"> в связи с отсутствием заявок либо ни один из претендентов не признан участником.</w:t>
      </w:r>
    </w:p>
    <w:p w:rsidR="007E5B64" w:rsidRPr="00FE2A2E" w:rsidRDefault="007E5B64" w:rsidP="007E5B64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u w:val="single"/>
          <w:lang w:bidi="ru-RU"/>
        </w:rPr>
        <w:t>По лотам №№ 2</w:t>
      </w:r>
      <w:r w:rsidRPr="00345EA7">
        <w:rPr>
          <w:color w:val="000000"/>
          <w:sz w:val="26"/>
          <w:szCs w:val="26"/>
          <w:u w:val="single"/>
          <w:lang w:bidi="ru-RU"/>
        </w:rPr>
        <w:t>-</w:t>
      </w:r>
      <w:r>
        <w:rPr>
          <w:color w:val="000000"/>
          <w:sz w:val="26"/>
          <w:szCs w:val="26"/>
          <w:u w:val="single"/>
          <w:lang w:bidi="ru-RU"/>
        </w:rPr>
        <w:t>4</w:t>
      </w:r>
      <w:r w:rsidRPr="00345EA7">
        <w:rPr>
          <w:color w:val="000000"/>
          <w:sz w:val="26"/>
          <w:szCs w:val="26"/>
          <w:lang w:bidi="ru-RU"/>
        </w:rPr>
        <w:t xml:space="preserve"> </w:t>
      </w:r>
      <w:r w:rsidRPr="00FE2A2E">
        <w:rPr>
          <w:color w:val="000000"/>
          <w:sz w:val="26"/>
          <w:szCs w:val="26"/>
          <w:lang w:bidi="ru-RU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17.02.2021 № 21 и постановлением</w:t>
      </w:r>
      <w:r w:rsidRPr="00FE2A2E">
        <w:rPr>
          <w:color w:val="000000"/>
          <w:sz w:val="26"/>
          <w:szCs w:val="26"/>
          <w:lang w:bidi="ru-RU"/>
        </w:rPr>
        <w:t xml:space="preserve"> администрации города Нижнег</w:t>
      </w:r>
      <w:r>
        <w:rPr>
          <w:color w:val="000000"/>
          <w:sz w:val="26"/>
          <w:szCs w:val="26"/>
          <w:lang w:bidi="ru-RU"/>
        </w:rPr>
        <w:t>о Новгорода от 09.03.2021 № 901.</w:t>
      </w:r>
    </w:p>
    <w:p w:rsidR="007E5B64" w:rsidRDefault="007E5B64" w:rsidP="007E5B64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  <w:r w:rsidRPr="00345EA7">
        <w:rPr>
          <w:color w:val="000000"/>
          <w:sz w:val="26"/>
          <w:szCs w:val="26"/>
          <w:lang w:bidi="ru-RU"/>
        </w:rPr>
        <w:t>Аукцион</w:t>
      </w:r>
      <w:r>
        <w:rPr>
          <w:color w:val="000000"/>
          <w:sz w:val="26"/>
          <w:szCs w:val="26"/>
          <w:lang w:bidi="ru-RU"/>
        </w:rPr>
        <w:t>ы</w:t>
      </w:r>
      <w:r w:rsidRPr="00345EA7">
        <w:rPr>
          <w:color w:val="000000"/>
          <w:sz w:val="26"/>
          <w:szCs w:val="26"/>
          <w:lang w:bidi="ru-RU"/>
        </w:rPr>
        <w:t xml:space="preserve"> </w:t>
      </w:r>
      <w:r w:rsidR="00631995">
        <w:rPr>
          <w:color w:val="000000"/>
          <w:sz w:val="26"/>
          <w:szCs w:val="26"/>
          <w:lang w:bidi="ru-RU"/>
        </w:rPr>
        <w:t>от</w:t>
      </w:r>
      <w:r>
        <w:rPr>
          <w:color w:val="000000"/>
          <w:sz w:val="26"/>
          <w:szCs w:val="26"/>
          <w:lang w:bidi="ru-RU"/>
        </w:rPr>
        <w:t xml:space="preserve"> 09.02.2022 № 10792</w:t>
      </w:r>
      <w:r w:rsidR="00631995">
        <w:rPr>
          <w:color w:val="000000"/>
          <w:sz w:val="26"/>
          <w:szCs w:val="26"/>
          <w:lang w:bidi="ru-RU"/>
        </w:rPr>
        <w:t>, от 29.11.2022 № 5254762, от 19.01.2023 № 5261281</w:t>
      </w:r>
      <w:r w:rsidRPr="00145A16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по продаже не состоялись</w:t>
      </w:r>
      <w:r w:rsidR="00631995">
        <w:rPr>
          <w:color w:val="000000"/>
          <w:sz w:val="26"/>
          <w:szCs w:val="26"/>
          <w:lang w:bidi="ru-RU"/>
        </w:rPr>
        <w:t xml:space="preserve"> в связи с тем, что не было подано ни одной заявки на участие либо ни один из претендентов не признан участником</w:t>
      </w:r>
      <w:r w:rsidRPr="00345EA7">
        <w:rPr>
          <w:color w:val="000000"/>
          <w:sz w:val="26"/>
          <w:szCs w:val="26"/>
          <w:lang w:bidi="ru-RU"/>
        </w:rPr>
        <w:t>.</w:t>
      </w:r>
    </w:p>
    <w:p w:rsidR="00E71A2D" w:rsidRDefault="007E5B64" w:rsidP="007E5B64">
      <w:pPr>
        <w:jc w:val="both"/>
        <w:rPr>
          <w:color w:val="000000"/>
          <w:sz w:val="26"/>
          <w:szCs w:val="26"/>
          <w:u w:val="single"/>
          <w:lang w:bidi="ru-RU"/>
        </w:rPr>
      </w:pPr>
      <w:r>
        <w:rPr>
          <w:color w:val="000000"/>
          <w:sz w:val="26"/>
          <w:szCs w:val="26"/>
          <w:lang w:bidi="ru-RU"/>
        </w:rPr>
        <w:t>Продажи</w:t>
      </w:r>
      <w:r w:rsidRPr="00FE2A2E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>
        <w:rPr>
          <w:color w:val="000000"/>
          <w:sz w:val="26"/>
          <w:szCs w:val="26"/>
          <w:lang w:bidi="ru-RU"/>
        </w:rPr>
        <w:t xml:space="preserve">от 12.04.2022 № 5226574, от 31.05.2022 № 5231047 </w:t>
      </w:r>
      <w:r>
        <w:rPr>
          <w:sz w:val="26"/>
          <w:szCs w:val="26"/>
        </w:rPr>
        <w:t>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3435C4" w:rsidRDefault="003435C4" w:rsidP="00337E40">
      <w:pPr>
        <w:tabs>
          <w:tab w:val="num" w:pos="0"/>
        </w:tabs>
        <w:jc w:val="both"/>
        <w:rPr>
          <w:sz w:val="26"/>
          <w:szCs w:val="26"/>
        </w:rPr>
      </w:pPr>
    </w:p>
    <w:p w:rsidR="00FF6BBE" w:rsidRPr="00797CEB" w:rsidRDefault="00FF6BBE" w:rsidP="00337E40">
      <w:pPr>
        <w:tabs>
          <w:tab w:val="num" w:pos="0"/>
        </w:tabs>
        <w:jc w:val="both"/>
        <w:rPr>
          <w:rFonts w:eastAsia="Calibri"/>
          <w:sz w:val="28"/>
          <w:szCs w:val="28"/>
        </w:rPr>
      </w:pPr>
      <w:r w:rsidRPr="00797CEB">
        <w:rPr>
          <w:rFonts w:eastAsia="Calibri"/>
          <w:b/>
          <w:sz w:val="28"/>
          <w:szCs w:val="28"/>
        </w:rPr>
        <w:t>Начало приема заявок</w:t>
      </w:r>
      <w:r w:rsidRPr="00797CEB">
        <w:rPr>
          <w:rFonts w:eastAsia="Calibri"/>
          <w:sz w:val="28"/>
          <w:szCs w:val="28"/>
        </w:rPr>
        <w:t xml:space="preserve"> на участие в аукционе –</w:t>
      </w:r>
      <w:r w:rsidR="008C719D" w:rsidRPr="00797CEB">
        <w:rPr>
          <w:rFonts w:eastAsia="Calibri"/>
          <w:sz w:val="28"/>
          <w:szCs w:val="28"/>
        </w:rPr>
        <w:t xml:space="preserve"> 01.02</w:t>
      </w:r>
      <w:r w:rsidR="00CE40F6" w:rsidRPr="00797CEB">
        <w:rPr>
          <w:rFonts w:eastAsia="Calibri"/>
          <w:sz w:val="28"/>
          <w:szCs w:val="28"/>
        </w:rPr>
        <w:t>.202</w:t>
      </w:r>
      <w:r w:rsidR="008C719D" w:rsidRPr="00797CEB">
        <w:rPr>
          <w:rFonts w:eastAsia="Calibri"/>
          <w:sz w:val="28"/>
          <w:szCs w:val="28"/>
        </w:rPr>
        <w:t>3</w:t>
      </w:r>
      <w:r w:rsidRPr="00797CEB">
        <w:rPr>
          <w:rFonts w:eastAsia="Calibri"/>
          <w:sz w:val="28"/>
          <w:szCs w:val="28"/>
        </w:rPr>
        <w:t xml:space="preserve"> в 15:00.</w:t>
      </w:r>
    </w:p>
    <w:p w:rsidR="00FF6BBE" w:rsidRPr="00797CEB" w:rsidRDefault="00FF6BBE" w:rsidP="00FF6BBE">
      <w:pPr>
        <w:ind w:left="426" w:hanging="426"/>
        <w:jc w:val="both"/>
        <w:rPr>
          <w:rFonts w:eastAsia="Calibri"/>
          <w:sz w:val="28"/>
          <w:szCs w:val="28"/>
        </w:rPr>
      </w:pPr>
      <w:r w:rsidRPr="00797CEB">
        <w:rPr>
          <w:rFonts w:eastAsia="Calibri"/>
          <w:b/>
          <w:sz w:val="28"/>
          <w:szCs w:val="28"/>
        </w:rPr>
        <w:t>Окончание приема заявок</w:t>
      </w:r>
      <w:r w:rsidRPr="00797CEB">
        <w:rPr>
          <w:rFonts w:eastAsia="Calibri"/>
          <w:sz w:val="28"/>
          <w:szCs w:val="28"/>
        </w:rPr>
        <w:t xml:space="preserve"> на участие в аукционе –</w:t>
      </w:r>
      <w:r w:rsidR="00CC5F7A" w:rsidRPr="00797CEB">
        <w:rPr>
          <w:rFonts w:eastAsia="Calibri"/>
          <w:sz w:val="28"/>
          <w:szCs w:val="28"/>
        </w:rPr>
        <w:t xml:space="preserve"> </w:t>
      </w:r>
      <w:r w:rsidR="008C719D" w:rsidRPr="00797CEB">
        <w:rPr>
          <w:rFonts w:eastAsia="Calibri"/>
          <w:sz w:val="28"/>
          <w:szCs w:val="28"/>
        </w:rPr>
        <w:t>06.03</w:t>
      </w:r>
      <w:r w:rsidR="002F5390" w:rsidRPr="00797CEB">
        <w:rPr>
          <w:rFonts w:eastAsia="Calibri"/>
          <w:sz w:val="28"/>
          <w:szCs w:val="28"/>
        </w:rPr>
        <w:t>.</w:t>
      </w:r>
      <w:r w:rsidR="00CE40F6" w:rsidRPr="00797CEB">
        <w:rPr>
          <w:rFonts w:eastAsia="Calibri"/>
          <w:sz w:val="28"/>
          <w:szCs w:val="28"/>
        </w:rPr>
        <w:t>202</w:t>
      </w:r>
      <w:r w:rsidR="008C719D" w:rsidRPr="00797CEB">
        <w:rPr>
          <w:rFonts w:eastAsia="Calibri"/>
          <w:sz w:val="28"/>
          <w:szCs w:val="28"/>
        </w:rPr>
        <w:t>3</w:t>
      </w:r>
      <w:r w:rsidR="009A15D1" w:rsidRPr="00797CEB">
        <w:rPr>
          <w:rFonts w:eastAsia="Calibri"/>
          <w:sz w:val="28"/>
          <w:szCs w:val="28"/>
        </w:rPr>
        <w:t xml:space="preserve"> </w:t>
      </w:r>
      <w:r w:rsidRPr="00797CEB">
        <w:rPr>
          <w:rFonts w:eastAsia="Calibri"/>
          <w:sz w:val="28"/>
          <w:szCs w:val="28"/>
        </w:rPr>
        <w:t>в 15:00.</w:t>
      </w:r>
    </w:p>
    <w:p w:rsidR="00FF6BBE" w:rsidRPr="00797CEB" w:rsidRDefault="00FF6BBE" w:rsidP="00FF6BBE">
      <w:pPr>
        <w:pStyle w:val="a5"/>
        <w:ind w:firstLine="0"/>
        <w:rPr>
          <w:bCs/>
          <w:sz w:val="28"/>
          <w:szCs w:val="28"/>
        </w:rPr>
      </w:pPr>
      <w:r w:rsidRPr="00797CEB">
        <w:rPr>
          <w:b/>
          <w:sz w:val="28"/>
          <w:szCs w:val="28"/>
        </w:rPr>
        <w:t>Срок поступления задатка на счет организатора (дата и время блокирования задатка)</w:t>
      </w:r>
      <w:r w:rsidRPr="00797CEB">
        <w:rPr>
          <w:sz w:val="28"/>
          <w:szCs w:val="28"/>
        </w:rPr>
        <w:t xml:space="preserve"> –</w:t>
      </w:r>
      <w:r w:rsidR="00CC5F7A" w:rsidRPr="00797CEB">
        <w:rPr>
          <w:sz w:val="28"/>
          <w:szCs w:val="28"/>
        </w:rPr>
        <w:t xml:space="preserve"> </w:t>
      </w:r>
      <w:r w:rsidR="00FA1531" w:rsidRPr="00797CEB">
        <w:rPr>
          <w:sz w:val="28"/>
          <w:szCs w:val="28"/>
        </w:rPr>
        <w:t>06.03</w:t>
      </w:r>
      <w:r w:rsidR="00EA7F2F" w:rsidRPr="00797CEB">
        <w:rPr>
          <w:sz w:val="28"/>
          <w:szCs w:val="28"/>
        </w:rPr>
        <w:t>.</w:t>
      </w:r>
      <w:r w:rsidR="00DD7BAD" w:rsidRPr="00797CEB">
        <w:rPr>
          <w:rFonts w:eastAsia="Calibri"/>
          <w:sz w:val="28"/>
          <w:szCs w:val="28"/>
        </w:rPr>
        <w:t>202</w:t>
      </w:r>
      <w:r w:rsidR="00FA1531" w:rsidRPr="00797CEB">
        <w:rPr>
          <w:rFonts w:eastAsia="Calibri"/>
          <w:sz w:val="28"/>
          <w:szCs w:val="28"/>
        </w:rPr>
        <w:t>3</w:t>
      </w:r>
      <w:r w:rsidRPr="00797CEB">
        <w:rPr>
          <w:rFonts w:eastAsia="Calibri"/>
          <w:sz w:val="28"/>
          <w:szCs w:val="28"/>
        </w:rPr>
        <w:t xml:space="preserve"> </w:t>
      </w:r>
      <w:r w:rsidRPr="00797CEB">
        <w:rPr>
          <w:bCs/>
          <w:sz w:val="28"/>
          <w:szCs w:val="28"/>
        </w:rPr>
        <w:t>до 15:00.</w:t>
      </w:r>
    </w:p>
    <w:p w:rsidR="00FF6BBE" w:rsidRPr="00797CEB" w:rsidRDefault="00FF6BBE" w:rsidP="00FF6BBE">
      <w:pPr>
        <w:ind w:left="426" w:hanging="426"/>
        <w:jc w:val="both"/>
        <w:rPr>
          <w:rFonts w:eastAsia="Calibri"/>
          <w:sz w:val="28"/>
          <w:szCs w:val="28"/>
        </w:rPr>
      </w:pPr>
      <w:r w:rsidRPr="00797CEB">
        <w:rPr>
          <w:rFonts w:eastAsia="Calibri"/>
          <w:b/>
          <w:sz w:val="28"/>
          <w:szCs w:val="28"/>
        </w:rPr>
        <w:t>Определение участников аукциона</w:t>
      </w:r>
      <w:r w:rsidRPr="00797CEB">
        <w:rPr>
          <w:rFonts w:eastAsia="Calibri"/>
          <w:sz w:val="28"/>
          <w:szCs w:val="28"/>
        </w:rPr>
        <w:t xml:space="preserve"> –</w:t>
      </w:r>
      <w:r w:rsidR="00CC5F7A" w:rsidRPr="00797CEB">
        <w:rPr>
          <w:rFonts w:eastAsia="Calibri"/>
          <w:sz w:val="28"/>
          <w:szCs w:val="28"/>
        </w:rPr>
        <w:t xml:space="preserve"> </w:t>
      </w:r>
      <w:r w:rsidR="008B4BD3" w:rsidRPr="00797CEB">
        <w:rPr>
          <w:rFonts w:eastAsia="Calibri"/>
          <w:sz w:val="28"/>
          <w:szCs w:val="28"/>
        </w:rPr>
        <w:t>13.03</w:t>
      </w:r>
      <w:r w:rsidR="009A15D1" w:rsidRPr="00797CEB">
        <w:rPr>
          <w:rFonts w:eastAsia="Calibri"/>
          <w:sz w:val="28"/>
          <w:szCs w:val="28"/>
        </w:rPr>
        <w:t>.202</w:t>
      </w:r>
      <w:r w:rsidR="008B4BD3" w:rsidRPr="00797CEB">
        <w:rPr>
          <w:rFonts w:eastAsia="Calibri"/>
          <w:sz w:val="28"/>
          <w:szCs w:val="28"/>
        </w:rPr>
        <w:t>3</w:t>
      </w:r>
      <w:r w:rsidRPr="00797CEB">
        <w:rPr>
          <w:sz w:val="28"/>
          <w:szCs w:val="28"/>
        </w:rPr>
        <w:t xml:space="preserve"> </w:t>
      </w:r>
      <w:r w:rsidRPr="00797CEB">
        <w:rPr>
          <w:rFonts w:eastAsia="Calibri"/>
          <w:sz w:val="28"/>
          <w:szCs w:val="28"/>
        </w:rPr>
        <w:t>до 23:59.</w:t>
      </w:r>
    </w:p>
    <w:p w:rsidR="00FF6BBE" w:rsidRPr="00797CEB" w:rsidRDefault="00FF6BBE" w:rsidP="00FF6BBE">
      <w:pPr>
        <w:jc w:val="both"/>
        <w:rPr>
          <w:rFonts w:eastAsia="Calibri"/>
          <w:b/>
          <w:sz w:val="28"/>
          <w:szCs w:val="28"/>
          <w:u w:val="single"/>
        </w:rPr>
      </w:pPr>
      <w:r w:rsidRPr="00797CEB">
        <w:rPr>
          <w:rFonts w:eastAsia="Calibri"/>
          <w:b/>
          <w:sz w:val="28"/>
          <w:szCs w:val="28"/>
        </w:rPr>
        <w:t>Проведение аукциона</w:t>
      </w:r>
      <w:r w:rsidRPr="00797CEB">
        <w:rPr>
          <w:rFonts w:eastAsia="Calibri"/>
          <w:sz w:val="28"/>
          <w:szCs w:val="28"/>
        </w:rPr>
        <w:t xml:space="preserve"> (дата и время начала приема предложений от участников аукциона</w:t>
      </w:r>
      <w:r w:rsidRPr="00797CEB">
        <w:rPr>
          <w:b/>
          <w:sz w:val="28"/>
          <w:szCs w:val="28"/>
        </w:rPr>
        <w:t>) –</w:t>
      </w:r>
      <w:r w:rsidR="00CC5F7A" w:rsidRPr="00797CEB">
        <w:rPr>
          <w:b/>
          <w:sz w:val="28"/>
          <w:szCs w:val="28"/>
          <w:u w:val="single"/>
        </w:rPr>
        <w:t xml:space="preserve"> </w:t>
      </w:r>
      <w:r w:rsidR="008C719D" w:rsidRPr="00797CEB">
        <w:rPr>
          <w:b/>
          <w:sz w:val="28"/>
          <w:szCs w:val="28"/>
          <w:u w:val="single"/>
        </w:rPr>
        <w:t>14.03</w:t>
      </w:r>
      <w:r w:rsidR="00190B18" w:rsidRPr="00797CEB">
        <w:rPr>
          <w:b/>
          <w:sz w:val="28"/>
          <w:szCs w:val="28"/>
          <w:u w:val="single"/>
        </w:rPr>
        <w:t>.</w:t>
      </w:r>
      <w:r w:rsidR="008C719D" w:rsidRPr="00797CEB">
        <w:rPr>
          <w:b/>
          <w:sz w:val="28"/>
          <w:szCs w:val="28"/>
          <w:u w:val="single"/>
        </w:rPr>
        <w:t>2023</w:t>
      </w:r>
      <w:r w:rsidR="00935A97" w:rsidRPr="00797CEB">
        <w:rPr>
          <w:b/>
          <w:sz w:val="28"/>
          <w:szCs w:val="28"/>
          <w:u w:val="single"/>
        </w:rPr>
        <w:t xml:space="preserve"> в </w:t>
      </w:r>
      <w:r w:rsidR="00CE40F6" w:rsidRPr="00797CEB">
        <w:rPr>
          <w:b/>
          <w:sz w:val="28"/>
          <w:szCs w:val="28"/>
          <w:u w:val="single"/>
        </w:rPr>
        <w:t>09</w:t>
      </w:r>
      <w:r w:rsidRPr="00797CEB">
        <w:rPr>
          <w:b/>
          <w:sz w:val="28"/>
          <w:szCs w:val="28"/>
          <w:u w:val="single"/>
        </w:rPr>
        <w:t>:30.</w:t>
      </w:r>
    </w:p>
    <w:p w:rsidR="00A05F64" w:rsidRPr="00797CEB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28"/>
          <w:szCs w:val="28"/>
          <w:u w:val="single"/>
          <w:lang w:val="ru-RU"/>
        </w:rPr>
      </w:pPr>
      <w:r w:rsidRPr="00797CEB">
        <w:rPr>
          <w:rFonts w:eastAsia="Calibri"/>
          <w:b w:val="0"/>
          <w:sz w:val="28"/>
          <w:szCs w:val="28"/>
          <w:lang w:val="ru-RU"/>
        </w:rPr>
        <w:t>Подведение итогов аукциона:</w:t>
      </w:r>
      <w:r w:rsidRPr="00797CEB">
        <w:rPr>
          <w:rFonts w:eastAsia="Calibri"/>
          <w:sz w:val="28"/>
          <w:szCs w:val="28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BB6EC2" w:rsidRDefault="00BB6EC2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lastRenderedPageBreak/>
        <w:t>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C77A0C" w:rsidRPr="00FE2A2E" w:rsidRDefault="00C77A0C" w:rsidP="00C77A0C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C77A0C" w:rsidRPr="00FE2A2E" w:rsidRDefault="00C77A0C" w:rsidP="00C77A0C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77A0C" w:rsidRPr="00FE2A2E" w:rsidRDefault="00C77A0C" w:rsidP="00C77A0C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C77A0C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C77A0C" w:rsidRPr="00FE2A2E" w:rsidRDefault="00C77A0C" w:rsidP="00C77A0C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C77A0C" w:rsidRPr="00FE2A2E" w:rsidRDefault="00C77A0C" w:rsidP="00C77A0C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C77A0C" w:rsidRPr="00FE2A2E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C77A0C" w:rsidRDefault="00C77A0C" w:rsidP="00C77A0C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</w:t>
      </w:r>
      <w:r>
        <w:rPr>
          <w:color w:val="000000"/>
          <w:sz w:val="26"/>
          <w:szCs w:val="26"/>
        </w:rPr>
        <w:t xml:space="preserve">оизводится победителем аукциона либо лицом, признанным единственным участником аукциона, </w:t>
      </w:r>
      <w:r w:rsidRPr="00FE2A2E">
        <w:rPr>
          <w:color w:val="000000"/>
          <w:sz w:val="26"/>
          <w:szCs w:val="26"/>
        </w:rPr>
        <w:t>единовременно в соответствии с договором купли-</w:t>
      </w:r>
      <w:r>
        <w:rPr>
          <w:rFonts w:eastAsia="Calibri"/>
          <w:color w:val="000000"/>
          <w:sz w:val="26"/>
          <w:szCs w:val="26"/>
        </w:rPr>
        <w:t>продажи в течение 15 (пятнадцат</w:t>
      </w:r>
      <w:r w:rsidRPr="00FE2A2E">
        <w:rPr>
          <w:rFonts w:eastAsia="Calibri"/>
          <w:color w:val="000000"/>
          <w:sz w:val="26"/>
          <w:szCs w:val="26"/>
        </w:rPr>
        <w:t>и) календарных дней со</w:t>
      </w:r>
      <w:r>
        <w:rPr>
          <w:rFonts w:eastAsia="Calibri"/>
          <w:color w:val="000000"/>
          <w:sz w:val="26"/>
          <w:szCs w:val="26"/>
        </w:rPr>
        <w:t xml:space="preserve"> дня его заключения.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lastRenderedPageBreak/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C77A0C" w:rsidRPr="00FE2A2E" w:rsidRDefault="00C77A0C" w:rsidP="00C77A0C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C77A0C" w:rsidRPr="00FE2A2E" w:rsidRDefault="00C77A0C" w:rsidP="00C77A0C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5 (пяти) рабочих дней со дня подведения итогов аукциона.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C77A0C" w:rsidRPr="00FE2A2E" w:rsidRDefault="00C77A0C" w:rsidP="00C77A0C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r w:rsidR="00806C47">
        <w:fldChar w:fldCharType="begin"/>
      </w:r>
      <w:r w:rsidR="00806C47">
        <w:instrText>HYPERLINK</w:instrText>
      </w:r>
      <w:r w:rsidR="00806C47" w:rsidRPr="008A0399">
        <w:rPr>
          <w:lang w:val="ru-RU"/>
        </w:rPr>
        <w:instrText xml:space="preserve"> "</w:instrText>
      </w:r>
      <w:r w:rsidR="00806C47">
        <w:instrText>https</w:instrText>
      </w:r>
      <w:r w:rsidR="00806C47" w:rsidRPr="008A0399">
        <w:rPr>
          <w:lang w:val="ru-RU"/>
        </w:rPr>
        <w:instrText>://</w:instrText>
      </w:r>
      <w:r w:rsidR="00806C47">
        <w:instrText>egrul</w:instrText>
      </w:r>
      <w:r w:rsidR="00806C47" w:rsidRPr="008A0399">
        <w:rPr>
          <w:lang w:val="ru-RU"/>
        </w:rPr>
        <w:instrText>.</w:instrText>
      </w:r>
      <w:r w:rsidR="00806C47">
        <w:instrText>nalog</w:instrText>
      </w:r>
      <w:r w:rsidR="00806C47" w:rsidRPr="008A0399">
        <w:rPr>
          <w:lang w:val="ru-RU"/>
        </w:rPr>
        <w:instrText>.</w:instrText>
      </w:r>
      <w:r w:rsidR="00806C47">
        <w:instrText>ru</w:instrText>
      </w:r>
      <w:r w:rsidR="00806C47" w:rsidRPr="008A0399">
        <w:rPr>
          <w:lang w:val="ru-RU"/>
        </w:rPr>
        <w:instrText>"</w:instrText>
      </w:r>
      <w:r w:rsidR="00806C47">
        <w:fldChar w:fldCharType="separate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https://egrul.nalog.ru</w:t>
      </w:r>
      <w:r w:rsidR="00806C47">
        <w:fldChar w:fldCharType="end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наличии печати) и подписанное его руководителем письмо);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C77A0C" w:rsidRPr="00FE2A2E" w:rsidRDefault="00C77A0C" w:rsidP="00C77A0C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C77A0C" w:rsidRPr="00FE2A2E" w:rsidRDefault="00C77A0C" w:rsidP="00C77A0C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C77A0C" w:rsidRPr="00FE2A2E" w:rsidRDefault="00C77A0C" w:rsidP="00C77A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сообщения на официальном сайте торгов до даты окончания срока приема заявок на участие в аукционе на сайтах - </w:t>
      </w:r>
      <w:r w:rsidR="00806C47">
        <w:fldChar w:fldCharType="begin"/>
      </w:r>
      <w:r w:rsidR="00806C47">
        <w:instrText>HYPERLINK</w:instrText>
      </w:r>
      <w:r w:rsidR="00806C47" w:rsidRPr="008A0399">
        <w:rPr>
          <w:lang w:val="ru-RU"/>
        </w:rPr>
        <w:instrText xml:space="preserve"> "</w:instrText>
      </w:r>
      <w:r w:rsidR="00806C47">
        <w:instrText>http</w:instrText>
      </w:r>
      <w:r w:rsidR="00806C47" w:rsidRPr="008A0399">
        <w:rPr>
          <w:lang w:val="ru-RU"/>
        </w:rPr>
        <w:instrText>://</w:instrText>
      </w:r>
      <w:r w:rsidR="00806C47">
        <w:instrText>www</w:instrText>
      </w:r>
      <w:r w:rsidR="00806C47" w:rsidRPr="008A0399">
        <w:rPr>
          <w:lang w:val="ru-RU"/>
        </w:rPr>
        <w:instrText>.</w:instrText>
      </w:r>
      <w:r w:rsidR="00806C47">
        <w:instrText>torgi</w:instrText>
      </w:r>
      <w:r w:rsidR="00806C47" w:rsidRPr="008A0399">
        <w:rPr>
          <w:lang w:val="ru-RU"/>
        </w:rPr>
        <w:instrText>.</w:instrText>
      </w:r>
      <w:r w:rsidR="00806C47">
        <w:instrText>gov</w:instrText>
      </w:r>
      <w:r w:rsidR="00806C47" w:rsidRPr="008A0399">
        <w:rPr>
          <w:lang w:val="ru-RU"/>
        </w:rPr>
        <w:instrText>.</w:instrText>
      </w:r>
      <w:r w:rsidR="00806C47">
        <w:instrText>ru</w:instrText>
      </w:r>
      <w:r w:rsidR="00806C47" w:rsidRPr="008A0399">
        <w:rPr>
          <w:lang w:val="ru-RU"/>
        </w:rPr>
        <w:instrText>"</w:instrText>
      </w:r>
      <w:r w:rsidR="00806C47">
        <w:fldChar w:fldCharType="separate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www.torgi.gov.ru</w:t>
      </w:r>
      <w:r w:rsidR="00806C47">
        <w:fldChar w:fldCharType="end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C77A0C" w:rsidRPr="00FE2A2E" w:rsidRDefault="00C77A0C" w:rsidP="00C77A0C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C77A0C" w:rsidRPr="00FE2A2E" w:rsidRDefault="00C77A0C" w:rsidP="00C77A0C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признании участниками аукциона с указанием оснований отказа.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lastRenderedPageBreak/>
        <w:t xml:space="preserve">Победителем аукциона признается участник, предложивший наиболее высокую цену имущества.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C77A0C" w:rsidRPr="0090327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C77A0C" w:rsidRPr="00B35CC7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C77A0C" w:rsidRPr="00903F5B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C77A0C" w:rsidRPr="006E2684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jc w:val="both"/>
      </w:pPr>
      <w:r w:rsidRPr="00FE2A2E">
        <w:t>Продавец: Комитет по управлению</w:t>
      </w:r>
    </w:p>
    <w:p w:rsidR="00C77A0C" w:rsidRPr="00FE2A2E" w:rsidRDefault="00C77A0C" w:rsidP="00C77A0C">
      <w:pPr>
        <w:jc w:val="both"/>
      </w:pPr>
      <w:r w:rsidRPr="00FE2A2E">
        <w:t xml:space="preserve">городским имуществом и земельными ресурсами </w:t>
      </w:r>
    </w:p>
    <w:p w:rsidR="00C77A0C" w:rsidRPr="00FE2A2E" w:rsidRDefault="00C77A0C" w:rsidP="00C77A0C">
      <w:pPr>
        <w:jc w:val="both"/>
      </w:pPr>
      <w:r w:rsidRPr="00FE2A2E">
        <w:t>администрации города Нижнего Новгорода</w:t>
      </w:r>
    </w:p>
    <w:p w:rsidR="00C77A0C" w:rsidRPr="00FE2A2E" w:rsidRDefault="00C77A0C" w:rsidP="00C77A0C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C77A0C" w:rsidRPr="00FE2A2E" w:rsidRDefault="00C77A0C" w:rsidP="00C77A0C">
      <w:pPr>
        <w:jc w:val="center"/>
        <w:rPr>
          <w:b/>
        </w:rPr>
      </w:pPr>
    </w:p>
    <w:p w:rsidR="00C77A0C" w:rsidRDefault="00C77A0C" w:rsidP="00C77A0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lastRenderedPageBreak/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C77A0C" w:rsidRPr="00FE2A2E" w:rsidRDefault="00C77A0C" w:rsidP="00C77A0C">
      <w:pPr>
        <w:jc w:val="center"/>
        <w:rPr>
          <w:b/>
          <w:sz w:val="28"/>
          <w:szCs w:val="28"/>
        </w:rPr>
      </w:pPr>
    </w:p>
    <w:p w:rsidR="00C77A0C" w:rsidRPr="00FE2A2E" w:rsidRDefault="00C77A0C" w:rsidP="00C77A0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508E0">
        <w:rPr>
          <w:b/>
          <w:sz w:val="28"/>
          <w:szCs w:val="28"/>
        </w:rPr>
        <w:t xml:space="preserve"> «____»______________2023</w:t>
      </w:r>
      <w:r>
        <w:rPr>
          <w:b/>
          <w:sz w:val="28"/>
          <w:szCs w:val="28"/>
        </w:rPr>
        <w:t xml:space="preserve">г. </w:t>
      </w:r>
    </w:p>
    <w:p w:rsidR="00C77A0C" w:rsidRDefault="00C77A0C" w:rsidP="00C77A0C">
      <w:pPr>
        <w:jc w:val="center"/>
      </w:pPr>
    </w:p>
    <w:p w:rsidR="00C77A0C" w:rsidRPr="00FE2A2E" w:rsidRDefault="00C77A0C" w:rsidP="00C77A0C">
      <w:pPr>
        <w:jc w:val="center"/>
      </w:pP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C77A0C" w:rsidRPr="00FE2A2E" w:rsidRDefault="00C77A0C" w:rsidP="00C77A0C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C77A0C" w:rsidRPr="00FE2A2E" w:rsidRDefault="00C77A0C" w:rsidP="00C77A0C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C77A0C" w:rsidRPr="00FE2A2E" w:rsidRDefault="00C77A0C" w:rsidP="00C77A0C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C77A0C" w:rsidRPr="00FE2A2E" w:rsidRDefault="00C77A0C" w:rsidP="00C77A0C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 xml:space="preserve"> (наименование документа, серия, дата и место выдачи)</w:t>
      </w:r>
    </w:p>
    <w:p w:rsidR="00C77A0C" w:rsidRPr="00FE2A2E" w:rsidRDefault="00C77A0C" w:rsidP="00C77A0C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C77A0C" w:rsidRPr="00FE2A2E" w:rsidRDefault="00C77A0C" w:rsidP="00C77A0C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C77A0C" w:rsidRPr="00FE2A2E" w:rsidRDefault="00C77A0C" w:rsidP="00C77A0C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C77A0C" w:rsidRPr="00FE2A2E" w:rsidRDefault="00C77A0C" w:rsidP="00C77A0C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в лице Представителя претендента _____________________________________________________________________________________________________________________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C77A0C" w:rsidRPr="00001ED7" w:rsidRDefault="00C77A0C" w:rsidP="00C77A0C">
      <w:pPr>
        <w:jc w:val="center"/>
      </w:pPr>
      <w:r w:rsidRPr="00FE2A2E">
        <w:t>(наименование документа, серия, номер, дата, кем выдан)</w:t>
      </w:r>
    </w:p>
    <w:p w:rsidR="00C77A0C" w:rsidRPr="00001ED7" w:rsidRDefault="00C77A0C" w:rsidP="00C77A0C">
      <w:pPr>
        <w:jc w:val="center"/>
        <w:rPr>
          <w:sz w:val="26"/>
          <w:szCs w:val="26"/>
        </w:rPr>
      </w:pPr>
    </w:p>
    <w:p w:rsidR="00C77A0C" w:rsidRPr="00FE2A2E" w:rsidRDefault="00C77A0C" w:rsidP="00C77A0C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C77A0C" w:rsidRPr="00FE2A2E" w:rsidRDefault="00C77A0C" w:rsidP="00C77A0C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C77A0C" w:rsidRPr="00E72847" w:rsidRDefault="00C77A0C" w:rsidP="00C77A0C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C77A0C" w:rsidRPr="00FE2A2E" w:rsidRDefault="00C508E0" w:rsidP="00C77A0C">
      <w:pPr>
        <w:jc w:val="center"/>
      </w:pPr>
      <w:r>
        <w:lastRenderedPageBreak/>
        <w:t>«___»________________2023</w:t>
      </w:r>
      <w:r w:rsidR="00C77A0C" w:rsidRPr="00FE2A2E">
        <w:t xml:space="preserve"> года</w:t>
      </w:r>
    </w:p>
    <w:p w:rsidR="00C77A0C" w:rsidRPr="00FE2A2E" w:rsidRDefault="00C77A0C" w:rsidP="00C77A0C">
      <w:pPr>
        <w:jc w:val="center"/>
      </w:pPr>
      <w:r w:rsidRPr="00FE2A2E">
        <w:t>(дата заполнения заявки)</w:t>
      </w:r>
    </w:p>
    <w:p w:rsidR="00C77A0C" w:rsidRPr="00FE2A2E" w:rsidRDefault="00C77A0C" w:rsidP="00C77A0C">
      <w:pPr>
        <w:jc w:val="center"/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77A0C" w:rsidRPr="00FE2A2E" w:rsidRDefault="00C77A0C" w:rsidP="00C77A0C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</w:t>
      </w:r>
      <w:r w:rsidR="00C508E0">
        <w:rPr>
          <w:sz w:val="26"/>
          <w:szCs w:val="26"/>
        </w:rPr>
        <w:t>3</w:t>
      </w:r>
      <w:r w:rsidRPr="00FE2A2E">
        <w:rPr>
          <w:sz w:val="26"/>
          <w:szCs w:val="26"/>
        </w:rPr>
        <w:t xml:space="preserve"> года</w:t>
      </w:r>
    </w:p>
    <w:p w:rsidR="00C77A0C" w:rsidRPr="00FE2A2E" w:rsidRDefault="00C77A0C" w:rsidP="00C77A0C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806C47" w:rsidRPr="00806C47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806C47">
        <w:rPr>
          <w:spacing w:val="-3"/>
          <w:sz w:val="26"/>
          <w:szCs w:val="26"/>
        </w:rPr>
      </w:r>
      <w:r w:rsidR="00806C47">
        <w:rPr>
          <w:spacing w:val="-3"/>
          <w:sz w:val="26"/>
          <w:szCs w:val="26"/>
        </w:rPr>
        <w:fldChar w:fldCharType="separate"/>
      </w:r>
      <w:r w:rsidR="00806C47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77A0C" w:rsidRPr="00FE2A2E" w:rsidRDefault="00C77A0C" w:rsidP="00C77A0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77A0C" w:rsidRPr="00FE2A2E" w:rsidRDefault="00C77A0C" w:rsidP="00C77A0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77A0C" w:rsidRPr="00FE2A2E" w:rsidRDefault="00C77A0C" w:rsidP="00C77A0C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77A0C" w:rsidRPr="00FE2A2E" w:rsidRDefault="00C77A0C" w:rsidP="00C77A0C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77A0C" w:rsidRPr="00FE2A2E" w:rsidRDefault="00C77A0C" w:rsidP="00C77A0C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77A0C" w:rsidRPr="00FE2A2E" w:rsidRDefault="00C77A0C" w:rsidP="00C77A0C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77A0C" w:rsidRPr="00FE2A2E" w:rsidRDefault="00C77A0C" w:rsidP="00C77A0C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77A0C" w:rsidRPr="00FE2A2E" w:rsidRDefault="00C77A0C" w:rsidP="00C77A0C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77A0C" w:rsidRPr="00FE2A2E" w:rsidRDefault="00C77A0C" w:rsidP="00C77A0C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77A0C" w:rsidRPr="00FE2A2E" w:rsidRDefault="00C77A0C" w:rsidP="00C77A0C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77A0C" w:rsidRPr="00FE2A2E" w:rsidRDefault="00C77A0C" w:rsidP="00C77A0C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 xml:space="preserve"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</w:t>
      </w:r>
      <w:r w:rsidRPr="00FE2A2E">
        <w:rPr>
          <w:sz w:val="26"/>
          <w:szCs w:val="26"/>
        </w:rPr>
        <w:lastRenderedPageBreak/>
        <w:t>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77A0C" w:rsidRPr="00FE2A2E" w:rsidRDefault="00C77A0C" w:rsidP="00C77A0C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Ind w:w="34" w:type="dxa"/>
        <w:tblLayout w:type="fixed"/>
        <w:tblLook w:val="01E0"/>
      </w:tblPr>
      <w:tblGrid>
        <w:gridCol w:w="4746"/>
        <w:gridCol w:w="4927"/>
      </w:tblGrid>
      <w:tr w:rsidR="00C77A0C" w:rsidRPr="00FE2A2E" w:rsidTr="00B12852">
        <w:trPr>
          <w:trHeight w:val="118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77A0C" w:rsidRPr="00FE2A2E" w:rsidTr="00B12852">
        <w:trPr>
          <w:trHeight w:val="34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77A0C" w:rsidRPr="00FE2A2E" w:rsidTr="00B12852">
        <w:trPr>
          <w:trHeight w:val="106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77A0C" w:rsidRPr="00FE2A2E" w:rsidTr="00B12852">
        <w:trPr>
          <w:trHeight w:val="149"/>
          <w:jc w:val="center"/>
        </w:trPr>
        <w:tc>
          <w:tcPr>
            <w:tcW w:w="4746" w:type="dxa"/>
            <w:vAlign w:val="center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77A0C" w:rsidRPr="00FE2A2E" w:rsidTr="00B12852">
        <w:trPr>
          <w:trHeight w:val="75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77A0C" w:rsidRPr="00FE2A2E" w:rsidTr="00B12852">
        <w:trPr>
          <w:trHeight w:val="112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77A0C" w:rsidRPr="00FE2A2E" w:rsidTr="00B12852">
        <w:trPr>
          <w:trHeight w:val="75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77A0C" w:rsidRPr="00FE2A2E" w:rsidTr="00B12852">
        <w:trPr>
          <w:trHeight w:val="39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77A0C" w:rsidRPr="00FE2A2E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77A0C" w:rsidRPr="00FE2A2E" w:rsidTr="00B12852">
        <w:trPr>
          <w:trHeight w:val="6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77A0C" w:rsidRPr="00C53FD3" w:rsidTr="00B12852">
        <w:trPr>
          <w:trHeight w:val="38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77A0C" w:rsidRPr="00C53FD3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DB0B9D" w:rsidRDefault="00DB0B9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sectPr w:rsidR="00C77A0C" w:rsidSect="00B12852">
      <w:headerReference w:type="default" r:id="rId10"/>
      <w:pgSz w:w="16840" w:h="11907" w:orient="landscape" w:code="9"/>
      <w:pgMar w:top="567" w:right="538" w:bottom="709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995" w:rsidRDefault="00631995" w:rsidP="00D42863">
      <w:r>
        <w:separator/>
      </w:r>
    </w:p>
  </w:endnote>
  <w:endnote w:type="continuationSeparator" w:id="0">
    <w:p w:rsidR="00631995" w:rsidRDefault="00631995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995" w:rsidRDefault="00631995" w:rsidP="00D42863">
      <w:r>
        <w:separator/>
      </w:r>
    </w:p>
  </w:footnote>
  <w:footnote w:type="continuationSeparator" w:id="0">
    <w:p w:rsidR="00631995" w:rsidRDefault="00631995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995" w:rsidRDefault="00806C47">
    <w:pPr>
      <w:pStyle w:val="ab"/>
      <w:jc w:val="center"/>
    </w:pPr>
    <w:fldSimple w:instr=" PAGE   \* MERGEFORMAT ">
      <w:r w:rsidR="008A0399">
        <w:rPr>
          <w:noProof/>
        </w:rPr>
        <w:t>2</w:t>
      </w:r>
    </w:fldSimple>
  </w:p>
  <w:p w:rsidR="00631995" w:rsidRDefault="0063199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21921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1B30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51E"/>
    <w:rsid w:val="00380ABA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E7A72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605"/>
    <w:rsid w:val="004C4F93"/>
    <w:rsid w:val="004C5CB7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1F31"/>
    <w:rsid w:val="005A21DA"/>
    <w:rsid w:val="005A2736"/>
    <w:rsid w:val="005A2CB5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1995"/>
    <w:rsid w:val="006331AB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97CEB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5781"/>
    <w:rsid w:val="00806A63"/>
    <w:rsid w:val="00806C47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4779"/>
    <w:rsid w:val="008947BF"/>
    <w:rsid w:val="00894B00"/>
    <w:rsid w:val="00895D5A"/>
    <w:rsid w:val="00896F84"/>
    <w:rsid w:val="008A0399"/>
    <w:rsid w:val="008A0413"/>
    <w:rsid w:val="008A1173"/>
    <w:rsid w:val="008A2382"/>
    <w:rsid w:val="008A238D"/>
    <w:rsid w:val="008A2DEE"/>
    <w:rsid w:val="008A412F"/>
    <w:rsid w:val="008A464E"/>
    <w:rsid w:val="008A5F73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4721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2FDE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595E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7A2B"/>
    <w:rsid w:val="00B314BC"/>
    <w:rsid w:val="00B32658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08E0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478"/>
    <w:rsid w:val="00C92A42"/>
    <w:rsid w:val="00C92F24"/>
    <w:rsid w:val="00C947B1"/>
    <w:rsid w:val="00C94BB5"/>
    <w:rsid w:val="00C95246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E1B"/>
    <w:rsid w:val="00CD23C7"/>
    <w:rsid w:val="00CD28B4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066E"/>
    <w:rsid w:val="00D623AA"/>
    <w:rsid w:val="00D635D2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F98"/>
    <w:rsid w:val="00DB21B6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DA0"/>
    <w:rsid w:val="00E05394"/>
    <w:rsid w:val="00E0688F"/>
    <w:rsid w:val="00E107C7"/>
    <w:rsid w:val="00E115C8"/>
    <w:rsid w:val="00E118B8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2431"/>
    <w:rsid w:val="00F3303C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35A1"/>
    <w:rsid w:val="00FC442B"/>
    <w:rsid w:val="00FC48A2"/>
    <w:rsid w:val="00FC5137"/>
    <w:rsid w:val="00FC5E8B"/>
    <w:rsid w:val="00FC724E"/>
    <w:rsid w:val="00FC751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25D6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2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4CC76-828D-4D18-931E-A38DBA30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5620</Words>
  <Characters>41868</Characters>
  <Application>Microsoft Office Word</Application>
  <DocSecurity>0</DocSecurity>
  <Lines>348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47394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2</cp:revision>
  <cp:lastPrinted>2023-01-30T12:39:00Z</cp:lastPrinted>
  <dcterms:created xsi:type="dcterms:W3CDTF">2023-02-01T11:29:00Z</dcterms:created>
  <dcterms:modified xsi:type="dcterms:W3CDTF">2023-02-01T11:29:00Z</dcterms:modified>
</cp:coreProperties>
</file>